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9652" w14:textId="77777777" w:rsidR="00E03A3A" w:rsidRPr="00D15A3A" w:rsidRDefault="007203A6">
      <w:pPr>
        <w:jc w:val="both"/>
      </w:pPr>
      <w:r w:rsidRPr="00D15A3A">
        <w:t xml:space="preserve">L’Aquila </w:t>
      </w:r>
    </w:p>
    <w:p w14:paraId="3A8AA66D" w14:textId="77777777" w:rsidR="00EB35EA" w:rsidRDefault="00EB35EA" w:rsidP="00B305FD">
      <w:pPr>
        <w:jc w:val="both"/>
      </w:pPr>
    </w:p>
    <w:p w14:paraId="741F66E1" w14:textId="77777777" w:rsidR="00F62D9E" w:rsidRPr="00D15A3A" w:rsidRDefault="00F62D9E" w:rsidP="00B305FD">
      <w:pPr>
        <w:jc w:val="both"/>
      </w:pPr>
    </w:p>
    <w:p w14:paraId="73BACA49" w14:textId="77777777" w:rsidR="00E03A3A" w:rsidRPr="00D15A3A" w:rsidRDefault="00F1032B">
      <w:pPr>
        <w:jc w:val="both"/>
      </w:pPr>
      <w:r w:rsidRPr="00D15A3A">
        <w:tab/>
      </w:r>
      <w:r w:rsidRPr="00D15A3A">
        <w:tab/>
      </w:r>
      <w:r w:rsidRPr="00D15A3A">
        <w:tab/>
      </w:r>
      <w:r w:rsidRPr="00D15A3A">
        <w:tab/>
      </w:r>
      <w:r w:rsidRPr="00D15A3A">
        <w:tab/>
      </w:r>
      <w:r w:rsidR="00E03A3A" w:rsidRPr="00D15A3A">
        <w:t>Alla Presidenza del Consiglio dei Ministri</w:t>
      </w:r>
    </w:p>
    <w:p w14:paraId="5FEF38CC" w14:textId="77777777" w:rsidR="00E03A3A" w:rsidRPr="00D15A3A" w:rsidRDefault="00E03A3A">
      <w:pPr>
        <w:jc w:val="both"/>
      </w:pPr>
      <w:r w:rsidRPr="00D15A3A">
        <w:tab/>
      </w:r>
      <w:r w:rsidRPr="00D15A3A">
        <w:tab/>
      </w:r>
      <w:r w:rsidRPr="00D15A3A">
        <w:tab/>
      </w:r>
      <w:r w:rsidRPr="00D15A3A">
        <w:tab/>
      </w:r>
      <w:r w:rsidRPr="00D15A3A">
        <w:tab/>
      </w:r>
      <w:r w:rsidR="009D119F" w:rsidRPr="00D15A3A">
        <w:t>Dipartimento</w:t>
      </w:r>
      <w:r w:rsidRPr="00D15A3A">
        <w:t xml:space="preserve"> Affari Regionali</w:t>
      </w:r>
      <w:r w:rsidR="00EB35EA" w:rsidRPr="00D15A3A">
        <w:t xml:space="preserve"> e le Autonomie</w:t>
      </w:r>
    </w:p>
    <w:p w14:paraId="7762C1B3" w14:textId="77777777" w:rsidR="00E03A3A" w:rsidRPr="00D15A3A" w:rsidRDefault="00750DE2" w:rsidP="00750DE2">
      <w:pPr>
        <w:ind w:left="3544"/>
        <w:jc w:val="both"/>
      </w:pPr>
      <w:r w:rsidRPr="00D15A3A">
        <w:t>Ufficio per le autonomie speciali e per l’esame di legittimità costituzionale della legislazione delle Regione e delle Province autonome</w:t>
      </w:r>
    </w:p>
    <w:p w14:paraId="22ADD6D5" w14:textId="77777777" w:rsidR="00750DE2" w:rsidRPr="00D15A3A" w:rsidRDefault="00750DE2" w:rsidP="00750DE2">
      <w:pPr>
        <w:ind w:left="3544"/>
        <w:jc w:val="both"/>
      </w:pPr>
      <w:r w:rsidRPr="00D15A3A">
        <w:t>Coordinat</w:t>
      </w:r>
      <w:r w:rsidR="00EB35EA" w:rsidRPr="00D15A3A">
        <w:t>rice</w:t>
      </w:r>
      <w:r w:rsidRPr="00D15A3A">
        <w:t xml:space="preserve">: </w:t>
      </w:r>
      <w:r w:rsidR="00EB35EA" w:rsidRPr="00D15A3A">
        <w:rPr>
          <w:b/>
        </w:rPr>
        <w:t xml:space="preserve">Luisa </w:t>
      </w:r>
      <w:proofErr w:type="spellStart"/>
      <w:r w:rsidR="00EB35EA" w:rsidRPr="00D15A3A">
        <w:rPr>
          <w:b/>
        </w:rPr>
        <w:t>Calindro</w:t>
      </w:r>
      <w:proofErr w:type="spellEnd"/>
    </w:p>
    <w:p w14:paraId="021764F3" w14:textId="77777777" w:rsidR="009D119F" w:rsidRPr="00D15A3A" w:rsidRDefault="009D119F">
      <w:pPr>
        <w:jc w:val="both"/>
      </w:pPr>
      <w:r w:rsidRPr="00D15A3A">
        <w:tab/>
      </w:r>
      <w:r w:rsidRPr="00D15A3A">
        <w:tab/>
      </w:r>
      <w:r w:rsidRPr="00D15A3A">
        <w:tab/>
      </w:r>
      <w:r w:rsidRPr="00D15A3A">
        <w:tab/>
      </w:r>
      <w:r w:rsidRPr="00D15A3A">
        <w:tab/>
      </w:r>
      <w:r w:rsidR="00750DE2" w:rsidRPr="00D15A3A">
        <w:t xml:space="preserve">e-mail: </w:t>
      </w:r>
      <w:hyperlink r:id="rId8" w:history="1">
        <w:r w:rsidR="00EB35EA" w:rsidRPr="00D15A3A">
          <w:rPr>
            <w:rStyle w:val="Collegamentoipertestuale"/>
          </w:rPr>
          <w:t>l.calindro@governo.it</w:t>
        </w:r>
      </w:hyperlink>
      <w:r w:rsidR="00EB35EA" w:rsidRPr="00D15A3A">
        <w:rPr>
          <w:rStyle w:val="Collegamentoipertestuale"/>
        </w:rPr>
        <w:t xml:space="preserve"> </w:t>
      </w:r>
    </w:p>
    <w:p w14:paraId="56888143" w14:textId="77777777" w:rsidR="00897805" w:rsidRDefault="00897805">
      <w:pPr>
        <w:jc w:val="both"/>
      </w:pPr>
      <w:r w:rsidRPr="00D15A3A">
        <w:tab/>
      </w:r>
      <w:r w:rsidRPr="00D15A3A">
        <w:tab/>
      </w:r>
      <w:r w:rsidRPr="00D15A3A">
        <w:tab/>
      </w:r>
      <w:r w:rsidRPr="00D15A3A">
        <w:tab/>
      </w:r>
      <w:r w:rsidRPr="00D15A3A">
        <w:tab/>
        <w:t xml:space="preserve">PEC: </w:t>
      </w:r>
      <w:hyperlink r:id="rId9" w:tooltip="affariregionali@pec.governo.it" w:history="1">
        <w:r w:rsidR="00C322D6" w:rsidRPr="00D15A3A">
          <w:rPr>
            <w:rStyle w:val="Collegamentoipertestuale"/>
          </w:rPr>
          <w:t>affariregionali@pec.governo.it</w:t>
        </w:r>
      </w:hyperlink>
      <w:r w:rsidRPr="00D15A3A">
        <w:t xml:space="preserve"> </w:t>
      </w:r>
    </w:p>
    <w:p w14:paraId="4DD3D004" w14:textId="77777777" w:rsidR="00800BB6" w:rsidRDefault="00800BB6">
      <w:pPr>
        <w:jc w:val="both"/>
      </w:pPr>
    </w:p>
    <w:p w14:paraId="51E010C7" w14:textId="77777777" w:rsidR="00800BB6" w:rsidRDefault="00800BB6">
      <w:pPr>
        <w:jc w:val="both"/>
      </w:pPr>
      <w:r>
        <w:tab/>
      </w:r>
      <w:r>
        <w:tab/>
      </w:r>
      <w:r>
        <w:tab/>
      </w:r>
      <w:r>
        <w:tab/>
      </w:r>
      <w:r>
        <w:tab/>
        <w:t>Al Ministero dell’Ambiente e Sicurezza Energetica</w:t>
      </w:r>
    </w:p>
    <w:p w14:paraId="1BF08EA4" w14:textId="77777777" w:rsidR="00800BB6" w:rsidRDefault="00800BB6">
      <w:pPr>
        <w:jc w:val="both"/>
      </w:pPr>
      <w:r>
        <w:tab/>
      </w:r>
      <w:r>
        <w:tab/>
      </w:r>
      <w:r>
        <w:tab/>
      </w:r>
      <w:r>
        <w:tab/>
      </w:r>
      <w:r>
        <w:tab/>
      </w:r>
      <w:r w:rsidR="00D942E7" w:rsidRPr="00D942E7">
        <w:t>Direzione generale patrimonio naturalistico e mare (PNM)</w:t>
      </w:r>
    </w:p>
    <w:p w14:paraId="769CF614" w14:textId="77777777" w:rsidR="00D942E7" w:rsidRDefault="00D942E7">
      <w:pPr>
        <w:jc w:val="both"/>
        <w:rPr>
          <w:b/>
        </w:rPr>
      </w:pPr>
      <w:r>
        <w:tab/>
      </w:r>
      <w:r>
        <w:tab/>
      </w:r>
      <w:r>
        <w:tab/>
      </w:r>
      <w:r>
        <w:tab/>
      </w:r>
      <w:r>
        <w:tab/>
      </w:r>
      <w:r w:rsidRPr="00D942E7">
        <w:t xml:space="preserve">Direttore generale: </w:t>
      </w:r>
      <w:r w:rsidRPr="00D942E7">
        <w:rPr>
          <w:b/>
        </w:rPr>
        <w:t>Oliviero Montanaro</w:t>
      </w:r>
    </w:p>
    <w:p w14:paraId="7E99488F" w14:textId="77777777" w:rsidR="00D942E7" w:rsidRPr="00D942E7" w:rsidRDefault="00D942E7" w:rsidP="00D942E7">
      <w:pPr>
        <w:jc w:val="both"/>
        <w:rPr>
          <w:b/>
        </w:rPr>
      </w:pPr>
      <w:r>
        <w:rPr>
          <w:b/>
        </w:rPr>
        <w:tab/>
      </w:r>
      <w:r>
        <w:rPr>
          <w:b/>
        </w:rPr>
        <w:tab/>
      </w:r>
      <w:r>
        <w:rPr>
          <w:b/>
        </w:rPr>
        <w:tab/>
      </w:r>
      <w:r>
        <w:rPr>
          <w:b/>
        </w:rPr>
        <w:tab/>
      </w:r>
      <w:r>
        <w:rPr>
          <w:b/>
        </w:rPr>
        <w:tab/>
      </w:r>
      <w:r>
        <w:t>e</w:t>
      </w:r>
      <w:r w:rsidRPr="00D942E7">
        <w:t>-mail:</w:t>
      </w:r>
      <w:r w:rsidRPr="00D942E7">
        <w:rPr>
          <w:b/>
        </w:rPr>
        <w:t xml:space="preserve"> </w:t>
      </w:r>
      <w:hyperlink r:id="rId10" w:history="1">
        <w:r w:rsidRPr="00104761">
          <w:rPr>
            <w:rStyle w:val="Collegamentoipertestuale"/>
          </w:rPr>
          <w:t>PNM-UDG@mase.gov.it</w:t>
        </w:r>
      </w:hyperlink>
      <w:r>
        <w:t xml:space="preserve"> </w:t>
      </w:r>
    </w:p>
    <w:p w14:paraId="59819A59" w14:textId="77777777" w:rsidR="00D942E7" w:rsidRPr="00D942E7" w:rsidRDefault="00D942E7" w:rsidP="00D942E7">
      <w:pPr>
        <w:jc w:val="both"/>
      </w:pPr>
      <w:r>
        <w:rPr>
          <w:b/>
        </w:rPr>
        <w:tab/>
      </w:r>
      <w:r>
        <w:rPr>
          <w:b/>
        </w:rPr>
        <w:tab/>
      </w:r>
      <w:r>
        <w:rPr>
          <w:b/>
        </w:rPr>
        <w:tab/>
      </w:r>
      <w:r>
        <w:rPr>
          <w:b/>
        </w:rPr>
        <w:tab/>
      </w:r>
      <w:r>
        <w:rPr>
          <w:b/>
        </w:rPr>
        <w:tab/>
      </w:r>
      <w:r w:rsidRPr="00D942E7">
        <w:t xml:space="preserve">PEC:  </w:t>
      </w:r>
      <w:hyperlink r:id="rId11" w:history="1">
        <w:r w:rsidRPr="00104761">
          <w:rPr>
            <w:rStyle w:val="Collegamentoipertestuale"/>
          </w:rPr>
          <w:t>PNM@Pec.Mite.Gov.it</w:t>
        </w:r>
      </w:hyperlink>
      <w:r>
        <w:t xml:space="preserve"> </w:t>
      </w:r>
    </w:p>
    <w:p w14:paraId="5C0B20AC" w14:textId="77777777" w:rsidR="00EB35EA" w:rsidRDefault="00EB35EA">
      <w:pPr>
        <w:rPr>
          <w:rFonts w:ascii="Arial" w:hAnsi="Arial" w:cs="Arial"/>
        </w:rPr>
      </w:pPr>
    </w:p>
    <w:p w14:paraId="31F1463E" w14:textId="77777777" w:rsidR="00F62D9E" w:rsidRDefault="00F62D9E">
      <w:pPr>
        <w:rPr>
          <w:rFonts w:ascii="Arial" w:hAnsi="Arial" w:cs="Arial"/>
        </w:rPr>
      </w:pPr>
    </w:p>
    <w:p w14:paraId="1020979C" w14:textId="77777777" w:rsidR="00EB35EA" w:rsidRPr="00D15A3A" w:rsidRDefault="00EB35EA" w:rsidP="00EB35EA">
      <w:pPr>
        <w:ind w:left="993" w:hanging="993"/>
      </w:pPr>
      <w:r w:rsidRPr="00D15A3A">
        <w:t>Oggetto: Segnalazione presunta illegittimità costituzionale</w:t>
      </w:r>
      <w:r w:rsidR="00830975" w:rsidRPr="00D15A3A">
        <w:t>,</w:t>
      </w:r>
      <w:r w:rsidRPr="00D15A3A">
        <w:t xml:space="preserve"> per attribuzione di materia</w:t>
      </w:r>
      <w:r w:rsidR="00830975" w:rsidRPr="00D15A3A">
        <w:t>,</w:t>
      </w:r>
      <w:r w:rsidRPr="00D15A3A">
        <w:t xml:space="preserve"> di legge regionale.</w:t>
      </w:r>
    </w:p>
    <w:p w14:paraId="4D650267" w14:textId="77777777" w:rsidR="00EB35EA" w:rsidRPr="00D15A3A" w:rsidRDefault="00EB35EA"/>
    <w:p w14:paraId="371A153E" w14:textId="77777777" w:rsidR="00E03A3A" w:rsidRPr="00543DE3" w:rsidRDefault="007D0E6E">
      <w:pPr>
        <w:jc w:val="both"/>
      </w:pPr>
      <w:r>
        <w:t>Spettabile</w:t>
      </w:r>
      <w:r w:rsidR="00950536" w:rsidRPr="00543DE3">
        <w:t xml:space="preserve"> </w:t>
      </w:r>
      <w:r>
        <w:t>Coordinatrice</w:t>
      </w:r>
      <w:r w:rsidR="009D4A5B" w:rsidRPr="00543DE3">
        <w:t>,</w:t>
      </w:r>
    </w:p>
    <w:p w14:paraId="7EADAD9B" w14:textId="77777777" w:rsidR="009D4A5B" w:rsidRPr="00543DE3" w:rsidRDefault="009D4A5B" w:rsidP="008900DC">
      <w:pPr>
        <w:spacing w:line="276" w:lineRule="auto"/>
        <w:jc w:val="both"/>
      </w:pPr>
    </w:p>
    <w:p w14:paraId="67EA1B74" w14:textId="77777777" w:rsidR="00E03A3A" w:rsidRPr="00543DE3" w:rsidRDefault="004D5B49" w:rsidP="00543DE3">
      <w:pPr>
        <w:pStyle w:val="nlegge"/>
        <w:spacing w:before="0" w:beforeAutospacing="0" w:after="0" w:afterAutospacing="0"/>
        <w:jc w:val="both"/>
      </w:pPr>
      <w:r w:rsidRPr="00543DE3">
        <w:t xml:space="preserve">I sottoscritti Segretari Regionali segnalano </w:t>
      </w:r>
      <w:r w:rsidR="00E03A3A" w:rsidRPr="00543DE3">
        <w:t xml:space="preserve">alla </w:t>
      </w:r>
      <w:r w:rsidR="007D0E6E">
        <w:t>Sua</w:t>
      </w:r>
      <w:r w:rsidR="00E03A3A" w:rsidRPr="00543DE3">
        <w:t xml:space="preserve"> cortese attenzione</w:t>
      </w:r>
      <w:r w:rsidR="00852CB3" w:rsidRPr="00543DE3">
        <w:t xml:space="preserve"> </w:t>
      </w:r>
      <w:r w:rsidR="00543DE3" w:rsidRPr="00543DE3">
        <w:rPr>
          <w:b/>
        </w:rPr>
        <w:t>l’art. 25</w:t>
      </w:r>
      <w:r w:rsidR="00543DE3" w:rsidRPr="00543DE3">
        <w:t xml:space="preserve"> della</w:t>
      </w:r>
      <w:r w:rsidR="00033A42" w:rsidRPr="00543DE3">
        <w:t xml:space="preserve"> </w:t>
      </w:r>
      <w:proofErr w:type="spellStart"/>
      <w:r w:rsidR="00033A42" w:rsidRPr="00543DE3">
        <w:rPr>
          <w:b/>
        </w:rPr>
        <w:t>l.r</w:t>
      </w:r>
      <w:proofErr w:type="spellEnd"/>
      <w:r w:rsidR="00033A42" w:rsidRPr="00543DE3">
        <w:rPr>
          <w:b/>
        </w:rPr>
        <w:t>.</w:t>
      </w:r>
      <w:r w:rsidR="00033A42" w:rsidRPr="00543DE3">
        <w:rPr>
          <w:b/>
          <w:bCs/>
          <w:color w:val="000000"/>
        </w:rPr>
        <w:t xml:space="preserve"> 25 gennaio 2024, n. 4 (Disposizioni finanziarie per la redazione del Bilancio di previsione finanziario 2024- 2026 della Regione Abruzzo (Legge di </w:t>
      </w:r>
      <w:r w:rsidR="00543DE3" w:rsidRPr="00543DE3">
        <w:rPr>
          <w:b/>
          <w:bCs/>
          <w:color w:val="000000"/>
        </w:rPr>
        <w:t>stabilità</w:t>
      </w:r>
      <w:r w:rsidR="00033A42" w:rsidRPr="00543DE3">
        <w:rPr>
          <w:b/>
          <w:bCs/>
          <w:color w:val="000000"/>
        </w:rPr>
        <w:t xml:space="preserve"> regionale 2024</w:t>
      </w:r>
      <w:proofErr w:type="gramStart"/>
      <w:r w:rsidR="00033A42" w:rsidRPr="00543DE3">
        <w:rPr>
          <w:b/>
          <w:bCs/>
          <w:color w:val="000000"/>
        </w:rPr>
        <w:t>))</w:t>
      </w:r>
      <w:r w:rsidR="00543DE3" w:rsidRPr="00543DE3">
        <w:t>-</w:t>
      </w:r>
      <w:proofErr w:type="gramEnd"/>
      <w:r w:rsidR="00543DE3" w:rsidRPr="00543DE3">
        <w:t xml:space="preserve"> Legge </w:t>
      </w:r>
      <w:r w:rsidR="00E03A3A" w:rsidRPr="00543DE3">
        <w:t xml:space="preserve">pubblicata sul </w:t>
      </w:r>
      <w:proofErr w:type="spellStart"/>
      <w:r w:rsidR="00E03A3A" w:rsidRPr="00543DE3">
        <w:t>Bura</w:t>
      </w:r>
      <w:r w:rsidR="00306142" w:rsidRPr="00543DE3">
        <w:t>t</w:t>
      </w:r>
      <w:proofErr w:type="spellEnd"/>
      <w:r w:rsidR="00804867" w:rsidRPr="00543DE3">
        <w:t xml:space="preserve"> </w:t>
      </w:r>
      <w:r w:rsidR="00E03A3A" w:rsidRPr="00543DE3">
        <w:t>n.</w:t>
      </w:r>
      <w:r w:rsidR="00033A42" w:rsidRPr="00543DE3">
        <w:t>12</w:t>
      </w:r>
      <w:r w:rsidR="00E70304" w:rsidRPr="00543DE3">
        <w:t>, Serie S</w:t>
      </w:r>
      <w:r w:rsidR="00445558" w:rsidRPr="00543DE3">
        <w:t xml:space="preserve">peciale, </w:t>
      </w:r>
      <w:r w:rsidR="00E03A3A" w:rsidRPr="00543DE3">
        <w:t xml:space="preserve">del </w:t>
      </w:r>
      <w:r w:rsidR="003A55F9" w:rsidRPr="00543DE3">
        <w:t>2</w:t>
      </w:r>
      <w:r w:rsidR="00033A42" w:rsidRPr="00543DE3">
        <w:t>6</w:t>
      </w:r>
      <w:r w:rsidR="00306142" w:rsidRPr="00543DE3">
        <w:t>/0</w:t>
      </w:r>
      <w:r w:rsidR="00033A42" w:rsidRPr="00543DE3">
        <w:t>1</w:t>
      </w:r>
      <w:r w:rsidR="00306142" w:rsidRPr="00543DE3">
        <w:t>/20</w:t>
      </w:r>
      <w:r w:rsidR="003A55F9" w:rsidRPr="00543DE3">
        <w:t>2</w:t>
      </w:r>
      <w:r w:rsidR="00033A42" w:rsidRPr="00543DE3">
        <w:t>4</w:t>
      </w:r>
      <w:r w:rsidR="00E03A3A" w:rsidRPr="00543DE3">
        <w:t>:</w:t>
      </w:r>
    </w:p>
    <w:p w14:paraId="1B2C0CA1" w14:textId="77777777" w:rsidR="00E03A3A" w:rsidRPr="00543DE3" w:rsidRDefault="00E03A3A" w:rsidP="00033A42">
      <w:pPr>
        <w:jc w:val="both"/>
      </w:pPr>
    </w:p>
    <w:p w14:paraId="03ED4E04" w14:textId="77777777" w:rsidR="003C4A6B" w:rsidRPr="00543DE3" w:rsidRDefault="00900261" w:rsidP="00F8511B">
      <w:pPr>
        <w:pStyle w:val="Corpotesto"/>
      </w:pPr>
      <w:r w:rsidRPr="00543DE3">
        <w:t>Con il suddetto articolo la Regione Abruzzo,</w:t>
      </w:r>
      <w:r w:rsidR="00DD7A9D" w:rsidRPr="00543DE3">
        <w:t xml:space="preserve"> </w:t>
      </w:r>
      <w:r w:rsidR="00033A42" w:rsidRPr="00543DE3">
        <w:t xml:space="preserve">effettua una riperimetrizzazione dell’Area della Riserva </w:t>
      </w:r>
      <w:r w:rsidR="00543DE3">
        <w:t xml:space="preserve">Naturale Regionale </w:t>
      </w:r>
      <w:r w:rsidR="00033A42" w:rsidRPr="00543DE3">
        <w:t xml:space="preserve">del </w:t>
      </w:r>
      <w:proofErr w:type="spellStart"/>
      <w:r w:rsidR="00033A42" w:rsidRPr="00543DE3">
        <w:t>Borsacchio</w:t>
      </w:r>
      <w:proofErr w:type="spellEnd"/>
      <w:r w:rsidR="00033A42" w:rsidRPr="00543DE3">
        <w:t xml:space="preserve"> </w:t>
      </w:r>
      <w:r w:rsidR="00033A42" w:rsidRPr="00543DE3">
        <w:rPr>
          <w:b/>
        </w:rPr>
        <w:t>portandola dagli originari circa 1100 ettari a meno di 25 ettari.</w:t>
      </w:r>
    </w:p>
    <w:p w14:paraId="41D6948B" w14:textId="77777777" w:rsidR="004B35BA" w:rsidRPr="00543DE3" w:rsidRDefault="004B35BA" w:rsidP="00F8511B">
      <w:pPr>
        <w:pStyle w:val="Corpotesto"/>
      </w:pPr>
    </w:p>
    <w:p w14:paraId="600D6EF6" w14:textId="77777777" w:rsidR="004B35BA" w:rsidRPr="00543DE3" w:rsidRDefault="00543DE3" w:rsidP="00F8511B">
      <w:pPr>
        <w:pStyle w:val="Corpotesto"/>
      </w:pPr>
      <w:r w:rsidRPr="00543DE3">
        <w:t>In merito si vogliano ravvisare i seguenti profili di illegittimità:</w:t>
      </w:r>
    </w:p>
    <w:p w14:paraId="7E66C4BB" w14:textId="77777777" w:rsidR="00543DE3" w:rsidRDefault="00543DE3" w:rsidP="00F8511B">
      <w:pPr>
        <w:pStyle w:val="Corpotesto"/>
      </w:pPr>
      <w:r>
        <w:t>1.</w:t>
      </w:r>
      <w:r w:rsidR="009D7FD2">
        <w:t xml:space="preserve"> </w:t>
      </w:r>
      <w:r w:rsidRPr="00543DE3">
        <w:t>Sotto il profilo della tutela ambientale.</w:t>
      </w:r>
    </w:p>
    <w:p w14:paraId="47963351" w14:textId="77777777" w:rsidR="009D7FD2" w:rsidRDefault="009D7FD2" w:rsidP="00F8511B">
      <w:pPr>
        <w:pStyle w:val="Corpotesto"/>
      </w:pPr>
    </w:p>
    <w:p w14:paraId="683B8E27" w14:textId="77777777" w:rsidR="00543DE3" w:rsidRPr="00543DE3" w:rsidRDefault="00543DE3" w:rsidP="00F8511B">
      <w:pPr>
        <w:pStyle w:val="Corpotesto"/>
      </w:pPr>
      <w:r>
        <w:tab/>
      </w:r>
      <w:r w:rsidRPr="00543DE3">
        <w:t>La norma in esame contempla una nuova perimetrazione, di</w:t>
      </w:r>
      <w:r>
        <w:t xml:space="preserve"> </w:t>
      </w:r>
      <w:r w:rsidRPr="00543DE3">
        <w:t xml:space="preserve">minore consistenza, attesa l'esclusione di </w:t>
      </w:r>
      <w:r>
        <w:t>circa il 98%</w:t>
      </w:r>
      <w:r w:rsidRPr="00543DE3">
        <w:t>, dell'area</w:t>
      </w:r>
      <w:r>
        <w:t xml:space="preserve"> della Riserva Naturale Regionale del </w:t>
      </w:r>
      <w:proofErr w:type="spellStart"/>
      <w:r>
        <w:t>Borsacchio</w:t>
      </w:r>
      <w:proofErr w:type="spellEnd"/>
      <w:r w:rsidRPr="00543DE3">
        <w:t>. In materia ambientale, la Legge quadro sulle aree protette -legge 6 dicembre 1991, n. 394 - contiene i principi fondamentali ai</w:t>
      </w:r>
      <w:r>
        <w:t xml:space="preserve"> </w:t>
      </w:r>
      <w:r w:rsidRPr="00543DE3">
        <w:t>quali le Regioni sono tenute ad adeguarsi, in quanto tale disciplina</w:t>
      </w:r>
      <w:r>
        <w:t xml:space="preserve"> </w:t>
      </w:r>
      <w:r w:rsidR="00830975" w:rsidRPr="00543DE3">
        <w:t>è</w:t>
      </w:r>
      <w:r w:rsidRPr="00543DE3">
        <w:t xml:space="preserve"> stata reiteratamente ricondotta dalla giurisprudenza</w:t>
      </w:r>
      <w:r>
        <w:t xml:space="preserve"> </w:t>
      </w:r>
      <w:r w:rsidRPr="00543DE3">
        <w:t>costituzionale alla «tutela dell'ambiente e dell'ecosistema» (da</w:t>
      </w:r>
      <w:r>
        <w:t xml:space="preserve"> </w:t>
      </w:r>
      <w:r w:rsidRPr="00543DE3">
        <w:t xml:space="preserve">ultimo, sentenze n. 74 e n. 36 del 2017 </w:t>
      </w:r>
      <w:r>
        <w:t xml:space="preserve">e sentenza  235 del 2022 </w:t>
      </w:r>
      <w:r w:rsidR="00830975">
        <w:t>Corte Cost.) perché</w:t>
      </w:r>
      <w:r>
        <w:t xml:space="preserve"> </w:t>
      </w:r>
      <w:r w:rsidRPr="00543DE3">
        <w:t>espressione della competenza esclusiva dello Stato a porre standard</w:t>
      </w:r>
      <w:r>
        <w:t xml:space="preserve"> </w:t>
      </w:r>
      <w:r w:rsidRPr="00543DE3">
        <w:t xml:space="preserve">uniformi di tutela dell'ambiente e dell'ecosistema, non derogabili </w:t>
      </w:r>
      <w:r w:rsidRPr="00830975">
        <w:rPr>
          <w:i/>
        </w:rPr>
        <w:t xml:space="preserve">in </w:t>
      </w:r>
      <w:proofErr w:type="spellStart"/>
      <w:r w:rsidRPr="00830975">
        <w:rPr>
          <w:i/>
        </w:rPr>
        <w:t>peius</w:t>
      </w:r>
      <w:proofErr w:type="spellEnd"/>
      <w:r w:rsidRPr="00543DE3">
        <w:t xml:space="preserve"> dalle regioni, pena l'invasione di un ambito di esclusiva</w:t>
      </w:r>
      <w:r>
        <w:t xml:space="preserve"> </w:t>
      </w:r>
      <w:r w:rsidRPr="00543DE3">
        <w:t>spettanza statale. L'art. 23 della suddetta legge quadro sulle aree protette (n.394/1991) al primo comma dispone: «1. La legge regionale istitutiva del parco naturale</w:t>
      </w:r>
      <w:r>
        <w:t xml:space="preserve"> </w:t>
      </w:r>
      <w:r w:rsidRPr="00543DE3">
        <w:t>regionale, tenuto conto del documento di indirizzo di cui</w:t>
      </w:r>
      <w:r>
        <w:t xml:space="preserve"> </w:t>
      </w:r>
      <w:r w:rsidRPr="00543DE3">
        <w:t xml:space="preserve">all'articolo 22, comma 1, lettera a), </w:t>
      </w:r>
      <w:r w:rsidRPr="00F32A6C">
        <w:rPr>
          <w:b/>
        </w:rPr>
        <w:t xml:space="preserve">definisce la perimetrazione provvisoria e le misure di salvaguardia, individua il soggetto per la gestione del parco e indica </w:t>
      </w:r>
      <w:r w:rsidRPr="00F32A6C">
        <w:rPr>
          <w:b/>
        </w:rPr>
        <w:lastRenderedPageBreak/>
        <w:t>gli elementi del piano per il parco, di cui all'articolo 25, comma 1, nonché i principi del regolamento del</w:t>
      </w:r>
      <w:r w:rsidR="00F32A6C">
        <w:rPr>
          <w:b/>
        </w:rPr>
        <w:t xml:space="preserve"> </w:t>
      </w:r>
      <w:r w:rsidRPr="00F32A6C">
        <w:rPr>
          <w:b/>
        </w:rPr>
        <w:t>parco.</w:t>
      </w:r>
      <w:r w:rsidRPr="00543DE3">
        <w:t>» ed il richiamato art. 22, comma 1, lett. a), stabilisce che «Costituiscono principi fondamentali per la disciplina delle aree</w:t>
      </w:r>
      <w:r w:rsidR="00F32A6C">
        <w:t xml:space="preserve"> </w:t>
      </w:r>
      <w:r w:rsidRPr="00543DE3">
        <w:t xml:space="preserve">naturali protette regionali: </w:t>
      </w:r>
      <w:r w:rsidRPr="00F32A6C">
        <w:rPr>
          <w:b/>
        </w:rPr>
        <w:t>a) la partecipazione delle province,</w:t>
      </w:r>
      <w:r w:rsidR="00F32A6C" w:rsidRPr="00F32A6C">
        <w:rPr>
          <w:b/>
        </w:rPr>
        <w:t xml:space="preserve"> </w:t>
      </w:r>
      <w:r w:rsidRPr="00F32A6C">
        <w:rPr>
          <w:b/>
        </w:rPr>
        <w:t xml:space="preserve">delle </w:t>
      </w:r>
      <w:r w:rsidR="00F32A6C" w:rsidRPr="00F32A6C">
        <w:rPr>
          <w:b/>
        </w:rPr>
        <w:t>comunità</w:t>
      </w:r>
      <w:r w:rsidRPr="00F32A6C">
        <w:rPr>
          <w:b/>
        </w:rPr>
        <w:t xml:space="preserve"> montane e dei comuni al procedimento di istituzione</w:t>
      </w:r>
      <w:r w:rsidR="00F32A6C" w:rsidRPr="00F32A6C">
        <w:rPr>
          <w:b/>
        </w:rPr>
        <w:t xml:space="preserve"> </w:t>
      </w:r>
      <w:r w:rsidRPr="00F32A6C">
        <w:rPr>
          <w:b/>
        </w:rPr>
        <w:t>dell'area protetta</w:t>
      </w:r>
      <w:r w:rsidRPr="00543DE3">
        <w:t>, fatta salva l'attribuzione delle funzioni</w:t>
      </w:r>
      <w:r w:rsidR="00F32A6C">
        <w:t xml:space="preserve"> </w:t>
      </w:r>
      <w:r w:rsidRPr="00543DE3">
        <w:t>amministrative alle province, ai sensi dell'articolo 14 della legge 8</w:t>
      </w:r>
      <w:r w:rsidR="00F32A6C">
        <w:t xml:space="preserve"> </w:t>
      </w:r>
      <w:r w:rsidRPr="00543DE3">
        <w:t>giugno 1990, n. 142. Tale partecipazione si realizza, tenuto conto</w:t>
      </w:r>
      <w:r w:rsidR="00F32A6C">
        <w:t xml:space="preserve"> </w:t>
      </w:r>
      <w:r w:rsidRPr="00543DE3">
        <w:t>dell'articolo 3 della stessa legge n. 142 del 1990, attraverso</w:t>
      </w:r>
      <w:r w:rsidR="00F32A6C">
        <w:t xml:space="preserve"> </w:t>
      </w:r>
      <w:r w:rsidRPr="00543DE3">
        <w:t>conferenze per la redazione di un documento di indirizzo relativo</w:t>
      </w:r>
      <w:r w:rsidR="009D0D67">
        <w:t xml:space="preserve"> </w:t>
      </w:r>
      <w:r w:rsidRPr="00543DE3">
        <w:t>all'analisi territoriale dell'area da destinare a protezione, alla</w:t>
      </w:r>
      <w:r w:rsidR="009D0D67">
        <w:t xml:space="preserve"> </w:t>
      </w:r>
      <w:r w:rsidRPr="00543DE3">
        <w:t>perimetrazione provvisoria, all'individuazione degli obiettivi da</w:t>
      </w:r>
      <w:r w:rsidR="009D0D67">
        <w:t xml:space="preserve"> </w:t>
      </w:r>
      <w:r w:rsidRPr="00543DE3">
        <w:t>perseguire, alla valutazione degli effetti dell'istituzione dell'area</w:t>
      </w:r>
      <w:r w:rsidR="009D0D67">
        <w:t xml:space="preserve"> </w:t>
      </w:r>
      <w:r w:rsidRPr="00543DE3">
        <w:t xml:space="preserve">protetta sul territorio» a garanzia, come disposto alla </w:t>
      </w:r>
      <w:proofErr w:type="spellStart"/>
      <w:r w:rsidRPr="00543DE3">
        <w:t>lett.c</w:t>
      </w:r>
      <w:proofErr w:type="spellEnd"/>
      <w:r w:rsidRPr="00543DE3">
        <w:t>), per</w:t>
      </w:r>
      <w:r w:rsidR="009D0D67">
        <w:t xml:space="preserve"> </w:t>
      </w:r>
      <w:r w:rsidRPr="00543DE3">
        <w:t xml:space="preserve">gli enti locali </w:t>
      </w:r>
      <w:r w:rsidRPr="009D0D67">
        <w:rPr>
          <w:b/>
        </w:rPr>
        <w:t>di partecipare alla gestione dell'area protetta, non</w:t>
      </w:r>
      <w:r w:rsidR="009D0D67" w:rsidRPr="009D0D67">
        <w:rPr>
          <w:b/>
        </w:rPr>
        <w:t xml:space="preserve"> </w:t>
      </w:r>
      <w:r w:rsidRPr="009D0D67">
        <w:rPr>
          <w:b/>
        </w:rPr>
        <w:t>potendo gli stessi essere estromessi dal procedimento con cui si</w:t>
      </w:r>
      <w:r w:rsidR="009D0D67" w:rsidRPr="009D0D67">
        <w:rPr>
          <w:b/>
        </w:rPr>
        <w:t xml:space="preserve"> </w:t>
      </w:r>
      <w:r w:rsidRPr="009D0D67">
        <w:rPr>
          <w:b/>
        </w:rPr>
        <w:t>compie un atto di evidente rilievo gestionale, quale quello di</w:t>
      </w:r>
      <w:r w:rsidR="00830975">
        <w:rPr>
          <w:b/>
        </w:rPr>
        <w:t xml:space="preserve"> </w:t>
      </w:r>
      <w:r w:rsidRPr="009D0D67">
        <w:rPr>
          <w:b/>
        </w:rPr>
        <w:t>variazione dei confini del parco</w:t>
      </w:r>
      <w:r w:rsidRPr="00543DE3">
        <w:t>.</w:t>
      </w:r>
    </w:p>
    <w:p w14:paraId="4FC9654E" w14:textId="77777777" w:rsidR="006607EB" w:rsidRPr="00830975" w:rsidRDefault="00DF3A6F" w:rsidP="00830975">
      <w:pPr>
        <w:pStyle w:val="Corpotesto"/>
      </w:pPr>
      <w:r>
        <w:t>La Regione Abruzzo ha</w:t>
      </w:r>
      <w:r w:rsidR="006607EB" w:rsidRPr="00830975">
        <w:t xml:space="preserve"> affidato</w:t>
      </w:r>
      <w:r>
        <w:t>,</w:t>
      </w:r>
      <w:r w:rsidR="006607EB" w:rsidRPr="00830975">
        <w:t xml:space="preserve"> invece</w:t>
      </w:r>
      <w:r>
        <w:t>,</w:t>
      </w:r>
      <w:r w:rsidR="006607EB" w:rsidRPr="00830975">
        <w:t xml:space="preserve"> la riperimetrazione ad un emendamento alla legge regionale istitutiva, presentato alle 2,30 A.M.</w:t>
      </w:r>
      <w:r w:rsidR="00830975">
        <w:t>,</w:t>
      </w:r>
      <w:r w:rsidR="006607EB" w:rsidRPr="00830975">
        <w:t xml:space="preserve"> senza passaggio negli uffici tecnici per i pareri di competenza né con discussione presso le commissioni competenti in materia </w:t>
      </w:r>
    </w:p>
    <w:p w14:paraId="7C4033D4" w14:textId="77777777" w:rsidR="00F62D9E" w:rsidRDefault="00F62D9E" w:rsidP="004211A0">
      <w:pPr>
        <w:autoSpaceDE w:val="0"/>
        <w:autoSpaceDN w:val="0"/>
        <w:adjustRightInd w:val="0"/>
        <w:jc w:val="both"/>
        <w:rPr>
          <w:color w:val="000000"/>
        </w:rPr>
      </w:pPr>
    </w:p>
    <w:p w14:paraId="46114BB2" w14:textId="77777777" w:rsidR="004211A0" w:rsidRPr="00830975" w:rsidRDefault="004211A0" w:rsidP="004211A0">
      <w:pPr>
        <w:autoSpaceDE w:val="0"/>
        <w:autoSpaceDN w:val="0"/>
        <w:adjustRightInd w:val="0"/>
        <w:jc w:val="both"/>
        <w:rPr>
          <w:color w:val="000000"/>
        </w:rPr>
      </w:pPr>
      <w:r>
        <w:rPr>
          <w:color w:val="000000"/>
        </w:rPr>
        <w:t>Quello</w:t>
      </w:r>
      <w:r w:rsidRPr="004211A0">
        <w:rPr>
          <w:color w:val="000000"/>
        </w:rPr>
        <w:t xml:space="preserve"> che</w:t>
      </w:r>
      <w:r w:rsidR="00830975">
        <w:rPr>
          <w:color w:val="000000"/>
        </w:rPr>
        <w:t>,</w:t>
      </w:r>
      <w:r w:rsidRPr="004211A0">
        <w:rPr>
          <w:color w:val="000000"/>
        </w:rPr>
        <w:t xml:space="preserve"> tuttavia</w:t>
      </w:r>
      <w:r w:rsidR="00830975">
        <w:rPr>
          <w:color w:val="000000"/>
        </w:rPr>
        <w:t>,</w:t>
      </w:r>
      <w:r w:rsidRPr="004211A0">
        <w:rPr>
          <w:color w:val="000000"/>
        </w:rPr>
        <w:t xml:space="preserve"> </w:t>
      </w:r>
      <w:r>
        <w:rPr>
          <w:color w:val="000000"/>
        </w:rPr>
        <w:t xml:space="preserve">più </w:t>
      </w:r>
      <w:r w:rsidR="00BE537E">
        <w:rPr>
          <w:color w:val="000000"/>
        </w:rPr>
        <w:t>è censurabile</w:t>
      </w:r>
      <w:r w:rsidRPr="004211A0">
        <w:rPr>
          <w:color w:val="000000"/>
        </w:rPr>
        <w:t xml:space="preserve"> nel procedimento che ha condotto all’approvazione della </w:t>
      </w:r>
      <w:r w:rsidR="00DF3A6F">
        <w:rPr>
          <w:color w:val="000000"/>
        </w:rPr>
        <w:t>legge</w:t>
      </w:r>
      <w:r w:rsidRPr="004211A0">
        <w:rPr>
          <w:color w:val="000000"/>
        </w:rPr>
        <w:t xml:space="preserve"> regionale impugnata</w:t>
      </w:r>
      <w:r w:rsidR="00830975">
        <w:rPr>
          <w:color w:val="000000"/>
        </w:rPr>
        <w:t xml:space="preserve"> è l’aver disatteso</w:t>
      </w:r>
      <w:r w:rsidRPr="00830975">
        <w:rPr>
          <w:color w:val="000000"/>
        </w:rPr>
        <w:t xml:space="preserve">, </w:t>
      </w:r>
      <w:r w:rsidR="00830975" w:rsidRPr="00830975">
        <w:rPr>
          <w:b/>
          <w:color w:val="000000"/>
        </w:rPr>
        <w:t>l</w:t>
      </w:r>
      <w:r w:rsidRPr="00830975">
        <w:rPr>
          <w:b/>
          <w:color w:val="000000"/>
        </w:rPr>
        <w:t xml:space="preserve">’obbligo di partecipazione “qualificata” delle province, delle comunità montane e dei comuni </w:t>
      </w:r>
      <w:r w:rsidRPr="00830975">
        <w:rPr>
          <w:color w:val="000000"/>
        </w:rPr>
        <w:t>previsto dalla citata lettera a) del comma 1 dell’art. 22, secondo cui</w:t>
      </w:r>
      <w:r w:rsidRPr="004211A0">
        <w:rPr>
          <w:b/>
          <w:i/>
          <w:color w:val="000000"/>
        </w:rPr>
        <w:t xml:space="preserve"> «[t]</w:t>
      </w:r>
      <w:proofErr w:type="spellStart"/>
      <w:r w:rsidRPr="004211A0">
        <w:rPr>
          <w:b/>
          <w:i/>
          <w:color w:val="000000"/>
        </w:rPr>
        <w:t>ale</w:t>
      </w:r>
      <w:proofErr w:type="spellEnd"/>
      <w:r w:rsidRPr="004211A0">
        <w:rPr>
          <w:b/>
          <w:i/>
          <w:color w:val="000000"/>
        </w:rPr>
        <w:t xml:space="preserve"> partecipazione si realizza […] attraverso conferenze per la redazione di un documento di indirizzo relativo all’analisi territoriale dell’area da destinare a protezione, alla perimetrazione provvisoria, all’individuazione degli obiettivi da perseguire, alla valutazione degli effetti dell’istituzione dell’area protetta». </w:t>
      </w:r>
      <w:r w:rsidRPr="00830975">
        <w:rPr>
          <w:color w:val="000000"/>
        </w:rPr>
        <w:t xml:space="preserve">Un coinvolgimento </w:t>
      </w:r>
      <w:r w:rsidRPr="00830975">
        <w:rPr>
          <w:b/>
          <w:color w:val="000000"/>
        </w:rPr>
        <w:t>“rinforzato”</w:t>
      </w:r>
      <w:r w:rsidRPr="00830975">
        <w:rPr>
          <w:color w:val="000000"/>
        </w:rPr>
        <w:t xml:space="preserve">, dunque, che non si esaurisce nella semplice «partecipazione degli enti locali interessati», prevista dalla lettera c) del comma 1 dell’art. 22 della legge n. 394 del 1991 per la «gestione dell’area protetta», ma esige il rispetto di tutte le specifiche condizioni e modalità di partecipazione analiticamente individuate alla detta lettera a) del comma 1 dell’art. 22. </w:t>
      </w:r>
    </w:p>
    <w:p w14:paraId="2091B2EC" w14:textId="77777777" w:rsidR="006607EB" w:rsidRPr="00830975" w:rsidRDefault="00830975" w:rsidP="004211A0">
      <w:pPr>
        <w:pStyle w:val="Default"/>
        <w:jc w:val="both"/>
        <w:rPr>
          <w:rFonts w:ascii="Times New Roman" w:hAnsi="Times New Roman" w:cs="Times New Roman"/>
        </w:rPr>
      </w:pPr>
      <w:r>
        <w:rPr>
          <w:rFonts w:ascii="Times New Roman" w:hAnsi="Times New Roman" w:cs="Times New Roman"/>
        </w:rPr>
        <w:t xml:space="preserve">Nel caso di specie niente di tutto ciò è stato fatto, </w:t>
      </w:r>
      <w:r w:rsidR="004211A0" w:rsidRPr="00830975">
        <w:rPr>
          <w:rFonts w:ascii="Times New Roman" w:hAnsi="Times New Roman" w:cs="Times New Roman"/>
          <w:b/>
        </w:rPr>
        <w:t>non risulta che siano state effettuate</w:t>
      </w:r>
      <w:r w:rsidR="004211A0" w:rsidRPr="00830975">
        <w:rPr>
          <w:rFonts w:ascii="Times New Roman" w:hAnsi="Times New Roman" w:cs="Times New Roman"/>
        </w:rPr>
        <w:t xml:space="preserve"> le prescritte </w:t>
      </w:r>
      <w:r w:rsidR="004211A0" w:rsidRPr="00830975">
        <w:rPr>
          <w:rFonts w:ascii="Times New Roman" w:hAnsi="Times New Roman" w:cs="Times New Roman"/>
          <w:i/>
        </w:rPr>
        <w:t>«conferenze per la redazione di un documento di indirizzo relativo all’analisi territoriale dell’area da destinare a protezione»,</w:t>
      </w:r>
      <w:r w:rsidR="004211A0" w:rsidRPr="00830975">
        <w:rPr>
          <w:rFonts w:ascii="Times New Roman" w:hAnsi="Times New Roman" w:cs="Times New Roman"/>
        </w:rPr>
        <w:t xml:space="preserve"> né che tale documento d’indirizzo sia stato predisposto, né ancora che siano state operate </w:t>
      </w:r>
      <w:r w:rsidR="004211A0" w:rsidRPr="00830975">
        <w:rPr>
          <w:rFonts w:ascii="Times New Roman" w:hAnsi="Times New Roman" w:cs="Times New Roman"/>
          <w:b/>
        </w:rPr>
        <w:t>l’«analisi territoriale», l’«individuazione degli obiettivi da perseguire» e la «valutazione degli effetti dell’istituzione dell’area protetta sul territorio»,</w:t>
      </w:r>
      <w:r w:rsidR="004211A0" w:rsidRPr="00830975">
        <w:rPr>
          <w:rFonts w:ascii="Times New Roman" w:hAnsi="Times New Roman" w:cs="Times New Roman"/>
        </w:rPr>
        <w:t xml:space="preserve"> sulla cui base espressamente «si realizza» la partecipazione, secondo quello che la legge quadro statale sulle aree protette qualifica espressamente come principio fondamentale per la disciplina delle aree naturali protette regionali” (Sentenza</w:t>
      </w:r>
      <w:r w:rsidR="00B640CD" w:rsidRPr="00830975">
        <w:rPr>
          <w:rFonts w:ascii="Times New Roman" w:hAnsi="Times New Roman" w:cs="Times New Roman"/>
        </w:rPr>
        <w:t xml:space="preserve"> Corte Costituzionale</w:t>
      </w:r>
      <w:r w:rsidR="004211A0" w:rsidRPr="00830975">
        <w:rPr>
          <w:rFonts w:ascii="Times New Roman" w:hAnsi="Times New Roman" w:cs="Times New Roman"/>
        </w:rPr>
        <w:t xml:space="preserve"> n. 235/2022).</w:t>
      </w:r>
    </w:p>
    <w:p w14:paraId="1089D79C" w14:textId="77777777" w:rsidR="00641474" w:rsidRPr="00830975" w:rsidRDefault="002A2C8D" w:rsidP="004211A0">
      <w:pPr>
        <w:pStyle w:val="Default"/>
        <w:jc w:val="both"/>
        <w:rPr>
          <w:rFonts w:ascii="Times New Roman" w:hAnsi="Times New Roman" w:cs="Times New Roman"/>
          <w:b/>
        </w:rPr>
      </w:pPr>
      <w:r>
        <w:rPr>
          <w:rFonts w:ascii="Times New Roman" w:hAnsi="Times New Roman" w:cs="Times New Roman"/>
          <w:b/>
        </w:rPr>
        <w:t xml:space="preserve">Nell’approvazione della segnalata legge regionale si ravvisa, quindi, una violazione </w:t>
      </w:r>
      <w:r w:rsidR="00BE537E" w:rsidRPr="00830975">
        <w:rPr>
          <w:rFonts w:ascii="Times New Roman" w:hAnsi="Times New Roman" w:cs="Times New Roman"/>
          <w:b/>
        </w:rPr>
        <w:t>del principio procedimentale del necessario coinvolgimento delle autonomie locali, stabilito dai citati articoli 22 e 23 della legge quadro.</w:t>
      </w:r>
    </w:p>
    <w:p w14:paraId="13214747" w14:textId="77777777" w:rsidR="00F62D9E" w:rsidRDefault="00F62D9E" w:rsidP="00B640CD">
      <w:pPr>
        <w:pStyle w:val="Default"/>
        <w:jc w:val="both"/>
        <w:rPr>
          <w:rFonts w:ascii="Times New Roman" w:hAnsi="Times New Roman" w:cs="Times New Roman"/>
        </w:rPr>
      </w:pPr>
    </w:p>
    <w:p w14:paraId="7EB82CD5" w14:textId="77777777" w:rsidR="00C54BD9" w:rsidRPr="002A2C8D" w:rsidRDefault="006607EB" w:rsidP="00B640CD">
      <w:pPr>
        <w:pStyle w:val="Default"/>
        <w:jc w:val="both"/>
        <w:rPr>
          <w:rFonts w:ascii="Times New Roman" w:hAnsi="Times New Roman" w:cs="Times New Roman"/>
        </w:rPr>
      </w:pPr>
      <w:r w:rsidRPr="002A2C8D">
        <w:rPr>
          <w:rFonts w:ascii="Times New Roman" w:hAnsi="Times New Roman" w:cs="Times New Roman"/>
        </w:rPr>
        <w:t>Occorre, poi, segnalare che l’intervento di riperimetrazione, effettuato dalla Regione Abruzzo con la disposizione contestata, deve essere correttamente qualificato nei termini di una riperimetrazione provvisoria, ossia come intervento di modifica della perimetrazione provvisoria, a suo tempo operata in sede di istituzione del</w:t>
      </w:r>
      <w:r w:rsidR="00B640CD" w:rsidRPr="002A2C8D">
        <w:rPr>
          <w:rFonts w:ascii="Times New Roman" w:hAnsi="Times New Roman" w:cs="Times New Roman"/>
        </w:rPr>
        <w:t xml:space="preserve">la Riserva Naturale Regionale </w:t>
      </w:r>
      <w:r w:rsidRPr="002A2C8D">
        <w:rPr>
          <w:rFonts w:ascii="Times New Roman" w:hAnsi="Times New Roman" w:cs="Times New Roman"/>
        </w:rPr>
        <w:t xml:space="preserve">ai sensi dell’art. 23, comma 1, della legge n. 394 del </w:t>
      </w:r>
      <w:r w:rsidR="00B640CD" w:rsidRPr="002A2C8D">
        <w:rPr>
          <w:rFonts w:ascii="Times New Roman" w:hAnsi="Times New Roman" w:cs="Times New Roman"/>
        </w:rPr>
        <w:t xml:space="preserve">1991, in quanto suddetta Riserva </w:t>
      </w:r>
      <w:r w:rsidRPr="002A2C8D">
        <w:rPr>
          <w:rFonts w:ascii="Times New Roman" w:hAnsi="Times New Roman" w:cs="Times New Roman"/>
        </w:rPr>
        <w:t xml:space="preserve">non risulta ancora </w:t>
      </w:r>
      <w:r w:rsidR="003C761B">
        <w:rPr>
          <w:rFonts w:ascii="Times New Roman" w:hAnsi="Times New Roman" w:cs="Times New Roman"/>
        </w:rPr>
        <w:t>essere dotata</w:t>
      </w:r>
      <w:r w:rsidRPr="002A2C8D">
        <w:rPr>
          <w:rFonts w:ascii="Times New Roman" w:hAnsi="Times New Roman" w:cs="Times New Roman"/>
        </w:rPr>
        <w:t xml:space="preserve"> di piano </w:t>
      </w:r>
      <w:r w:rsidR="00B640CD" w:rsidRPr="002A2C8D">
        <w:rPr>
          <w:rFonts w:ascii="Times New Roman" w:hAnsi="Times New Roman" w:cs="Times New Roman"/>
        </w:rPr>
        <w:t>di Assetto Naturalistico</w:t>
      </w:r>
      <w:r w:rsidRPr="002A2C8D">
        <w:rPr>
          <w:rFonts w:ascii="Times New Roman" w:hAnsi="Times New Roman" w:cs="Times New Roman"/>
        </w:rPr>
        <w:t xml:space="preserve"> – strumento di attuazione delle finalità del</w:t>
      </w:r>
      <w:r w:rsidR="00B640CD" w:rsidRPr="002A2C8D">
        <w:rPr>
          <w:rFonts w:ascii="Times New Roman" w:hAnsi="Times New Roman" w:cs="Times New Roman"/>
        </w:rPr>
        <w:t>la Riserva</w:t>
      </w:r>
      <w:r w:rsidRPr="002A2C8D">
        <w:rPr>
          <w:rFonts w:ascii="Times New Roman" w:hAnsi="Times New Roman" w:cs="Times New Roman"/>
        </w:rPr>
        <w:t>, giusta quanto previsto all’art. 25 della legge n. 394 del 1991 – e dunque nemmeno di una perimetrazione definitiva.</w:t>
      </w:r>
    </w:p>
    <w:p w14:paraId="7A9CD080" w14:textId="77777777" w:rsidR="003B3F77" w:rsidRPr="003C761B" w:rsidRDefault="003B3F77" w:rsidP="003B3F77">
      <w:pPr>
        <w:pStyle w:val="Default"/>
        <w:jc w:val="both"/>
        <w:rPr>
          <w:rFonts w:ascii="Times New Roman" w:hAnsi="Times New Roman" w:cs="Times New Roman"/>
        </w:rPr>
      </w:pPr>
      <w:r w:rsidRPr="002A2C8D">
        <w:rPr>
          <w:rFonts w:ascii="Times New Roman" w:hAnsi="Times New Roman" w:cs="Times New Roman"/>
        </w:rPr>
        <w:lastRenderedPageBreak/>
        <w:t xml:space="preserve">In questo caso si avrebbe la modifica di un elemento della legge istitutiva dell’area protetta regionale non ancora pianificata, con la conseguenza che, in virtù del principio del </w:t>
      </w:r>
      <w:proofErr w:type="spellStart"/>
      <w:r w:rsidRPr="002A2C8D">
        <w:rPr>
          <w:rFonts w:ascii="Times New Roman" w:hAnsi="Times New Roman" w:cs="Times New Roman"/>
          <w:i/>
        </w:rPr>
        <w:t>contrarius</w:t>
      </w:r>
      <w:proofErr w:type="spellEnd"/>
      <w:r w:rsidRPr="002A2C8D">
        <w:rPr>
          <w:rFonts w:ascii="Times New Roman" w:hAnsi="Times New Roman" w:cs="Times New Roman"/>
          <w:i/>
        </w:rPr>
        <w:t xml:space="preserve"> </w:t>
      </w:r>
      <w:proofErr w:type="spellStart"/>
      <w:r w:rsidRPr="002A2C8D">
        <w:rPr>
          <w:rFonts w:ascii="Times New Roman" w:hAnsi="Times New Roman" w:cs="Times New Roman"/>
          <w:i/>
        </w:rPr>
        <w:t>actus</w:t>
      </w:r>
      <w:proofErr w:type="spellEnd"/>
      <w:r w:rsidRPr="002A2C8D">
        <w:rPr>
          <w:rFonts w:ascii="Times New Roman" w:hAnsi="Times New Roman" w:cs="Times New Roman"/>
          <w:i/>
        </w:rPr>
        <w:t>,</w:t>
      </w:r>
      <w:r w:rsidRPr="002A2C8D">
        <w:rPr>
          <w:rFonts w:ascii="Times New Roman" w:hAnsi="Times New Roman" w:cs="Times New Roman"/>
        </w:rPr>
        <w:t xml:space="preserve"> trova </w:t>
      </w:r>
      <w:r w:rsidRPr="003C761B">
        <w:rPr>
          <w:rFonts w:ascii="Times New Roman" w:hAnsi="Times New Roman" w:cs="Times New Roman"/>
        </w:rPr>
        <w:t>applicazione per esso la medesima disciplina – contenuta all’art. 23 della legge n. 394 del 1991 e, per il rinvio ad opera di quest’ultimo, segnatamente al comma 1, lettera a), del precedente art. 22 – che regola il procedimento istitutivo della Riserva (Sentenza Corte Costituzionale n. 235/2022).</w:t>
      </w:r>
    </w:p>
    <w:p w14:paraId="6CF7B8B5" w14:textId="77777777" w:rsidR="00EB35EA" w:rsidRPr="00D15A3A" w:rsidRDefault="00BE537E" w:rsidP="003C761B">
      <w:pPr>
        <w:autoSpaceDE w:val="0"/>
        <w:autoSpaceDN w:val="0"/>
        <w:adjustRightInd w:val="0"/>
        <w:jc w:val="both"/>
        <w:rPr>
          <w:color w:val="000000"/>
        </w:rPr>
      </w:pPr>
      <w:r w:rsidRPr="003C761B">
        <w:t>In merito occorre ravvisare, che</w:t>
      </w:r>
      <w:r w:rsidRPr="003C761B">
        <w:rPr>
          <w:color w:val="000000"/>
        </w:rPr>
        <w:t xml:space="preserve"> </w:t>
      </w:r>
      <w:r w:rsidRPr="003C761B">
        <w:t>si</w:t>
      </w:r>
      <w:r w:rsidRPr="003C761B">
        <w:rPr>
          <w:color w:val="000000"/>
        </w:rPr>
        <w:t xml:space="preserve"> deve </w:t>
      </w:r>
      <w:r w:rsidRPr="003C761B">
        <w:rPr>
          <w:b/>
          <w:color w:val="000000"/>
        </w:rPr>
        <w:t xml:space="preserve">«osservare il medesimo procedimento seguito dal legislatore ai fini della perimetrazione provvisoria dei confini, ai sensi dell’art. 22 della legge </w:t>
      </w:r>
      <w:r w:rsidRPr="00D15A3A">
        <w:rPr>
          <w:b/>
          <w:color w:val="000000"/>
        </w:rPr>
        <w:t>quadro, compresa la interlocuzione con le autonomie locali</w:t>
      </w:r>
      <w:r w:rsidRPr="00D15A3A">
        <w:rPr>
          <w:color w:val="000000"/>
        </w:rPr>
        <w:t>» (</w:t>
      </w:r>
      <w:hyperlink r:id="rId12" w:history="1">
        <w:r w:rsidRPr="00D15A3A">
          <w:t>S</w:t>
        </w:r>
        <w:r w:rsidRPr="00D15A3A">
          <w:rPr>
            <w:color w:val="000000"/>
          </w:rPr>
          <w:t xml:space="preserve">entenza </w:t>
        </w:r>
        <w:r w:rsidRPr="00D15A3A">
          <w:t xml:space="preserve">Corte Costituzionale </w:t>
        </w:r>
        <w:r w:rsidRPr="00D15A3A">
          <w:rPr>
            <w:color w:val="000000"/>
          </w:rPr>
          <w:t>n. 134 del 2020</w:t>
        </w:r>
      </w:hyperlink>
      <w:r w:rsidRPr="00D15A3A">
        <w:rPr>
          <w:color w:val="000000"/>
        </w:rPr>
        <w:t>).</w:t>
      </w:r>
    </w:p>
    <w:p w14:paraId="7675DB7B" w14:textId="77777777" w:rsidR="00BE537E" w:rsidRPr="00D15A3A" w:rsidRDefault="00BE537E" w:rsidP="003C761B">
      <w:pPr>
        <w:autoSpaceDE w:val="0"/>
        <w:autoSpaceDN w:val="0"/>
        <w:adjustRightInd w:val="0"/>
        <w:jc w:val="both"/>
        <w:rPr>
          <w:color w:val="000000"/>
        </w:rPr>
      </w:pPr>
    </w:p>
    <w:p w14:paraId="2271F4E6" w14:textId="77777777" w:rsidR="00EB35EA" w:rsidRPr="00D15A3A" w:rsidRDefault="00EB35EA" w:rsidP="00EB35EA">
      <w:pPr>
        <w:autoSpaceDE w:val="0"/>
        <w:autoSpaceDN w:val="0"/>
        <w:adjustRightInd w:val="0"/>
        <w:rPr>
          <w:color w:val="000000"/>
        </w:rPr>
      </w:pPr>
      <w:r w:rsidRPr="00D15A3A">
        <w:rPr>
          <w:color w:val="000000"/>
        </w:rPr>
        <w:t>2. Sotto il profilo paesaggistico</w:t>
      </w:r>
      <w:r w:rsidR="003C761B" w:rsidRPr="00D15A3A">
        <w:rPr>
          <w:color w:val="000000"/>
        </w:rPr>
        <w:t>.</w:t>
      </w:r>
    </w:p>
    <w:p w14:paraId="08CCCEBC" w14:textId="77777777" w:rsidR="00EB35EA" w:rsidRPr="00D15A3A" w:rsidRDefault="00EB35EA" w:rsidP="00EB35EA">
      <w:pPr>
        <w:autoSpaceDE w:val="0"/>
        <w:autoSpaceDN w:val="0"/>
        <w:adjustRightInd w:val="0"/>
        <w:rPr>
          <w:color w:val="000000"/>
        </w:rPr>
      </w:pPr>
    </w:p>
    <w:p w14:paraId="3423B819" w14:textId="77777777" w:rsidR="00E71037" w:rsidRPr="00D15A3A" w:rsidRDefault="00933FF2" w:rsidP="00E71037">
      <w:pPr>
        <w:pStyle w:val="Default"/>
        <w:jc w:val="both"/>
        <w:rPr>
          <w:rFonts w:ascii="Times New Roman" w:hAnsi="Times New Roman" w:cs="Times New Roman"/>
        </w:rPr>
      </w:pPr>
      <w:r w:rsidRPr="00D15A3A">
        <w:rPr>
          <w:rFonts w:ascii="Times New Roman" w:hAnsi="Times New Roman" w:cs="Times New Roman"/>
        </w:rPr>
        <w:t>Per effetto della revisione in senso riduttivo dei confini, effettuata dall'art. 25 della legge regionale in esame, parte del territorio del Comune di Roseto, prima ricompreso nella Riserva Naturale, è sottratto oltre che alla tutela naturalistica, quale area protetta, anche alla correlata tutela paesaggistica, imposta ex lege sulla medesima area, ai sensi dell'art.142, comma 1, lett. f), del Codice dei beni culturali e del paesaggio</w:t>
      </w:r>
      <w:r w:rsidR="00691837" w:rsidRPr="00D15A3A">
        <w:rPr>
          <w:rFonts w:ascii="Times New Roman" w:hAnsi="Times New Roman" w:cs="Times New Roman"/>
        </w:rPr>
        <w:t xml:space="preserve"> </w:t>
      </w:r>
      <w:r w:rsidRPr="00D15A3A">
        <w:rPr>
          <w:rFonts w:ascii="Times New Roman" w:hAnsi="Times New Roman" w:cs="Times New Roman"/>
        </w:rPr>
        <w:t xml:space="preserve">di cui al d.lgs. 42/2004. La scelta regionale risulta completamente immotivata e gravemente penalizzante per la tutela del paesaggio, che ha finora mantenuto intatta la propria rilevante valenza ambientale ed estetica, fortemente </w:t>
      </w:r>
      <w:proofErr w:type="spellStart"/>
      <w:r w:rsidRPr="00D15A3A">
        <w:rPr>
          <w:rFonts w:ascii="Times New Roman" w:hAnsi="Times New Roman" w:cs="Times New Roman"/>
        </w:rPr>
        <w:t>rinaturalizzato</w:t>
      </w:r>
      <w:proofErr w:type="spellEnd"/>
      <w:r w:rsidRPr="00D15A3A">
        <w:rPr>
          <w:rFonts w:ascii="Times New Roman" w:hAnsi="Times New Roman" w:cs="Times New Roman"/>
        </w:rPr>
        <w:t xml:space="preserve"> dal </w:t>
      </w:r>
      <w:r w:rsidR="00E71037" w:rsidRPr="00D15A3A">
        <w:rPr>
          <w:rFonts w:ascii="Times New Roman" w:hAnsi="Times New Roman" w:cs="Times New Roman"/>
        </w:rPr>
        <w:t xml:space="preserve">sistema biologico della Riserva composto dalla spiaggia, duna e </w:t>
      </w:r>
      <w:proofErr w:type="spellStart"/>
      <w:r w:rsidR="00E71037" w:rsidRPr="00D15A3A">
        <w:rPr>
          <w:rFonts w:ascii="Times New Roman" w:hAnsi="Times New Roman" w:cs="Times New Roman"/>
        </w:rPr>
        <w:t>retroduna</w:t>
      </w:r>
      <w:proofErr w:type="spellEnd"/>
      <w:r w:rsidR="00E71037" w:rsidRPr="00D15A3A">
        <w:rPr>
          <w:rFonts w:ascii="Times New Roman" w:hAnsi="Times New Roman" w:cs="Times New Roman"/>
        </w:rPr>
        <w:t xml:space="preserve">; dal parco e bosco di Villa </w:t>
      </w:r>
      <w:proofErr w:type="spellStart"/>
      <w:r w:rsidR="00E71037" w:rsidRPr="00D15A3A">
        <w:rPr>
          <w:rFonts w:ascii="Times New Roman" w:hAnsi="Times New Roman" w:cs="Times New Roman"/>
        </w:rPr>
        <w:t>Mazzarosa</w:t>
      </w:r>
      <w:proofErr w:type="spellEnd"/>
      <w:r w:rsidR="003C761B" w:rsidRPr="00D15A3A">
        <w:rPr>
          <w:rFonts w:ascii="Times New Roman" w:hAnsi="Times New Roman" w:cs="Times New Roman"/>
        </w:rPr>
        <w:t>;</w:t>
      </w:r>
      <w:r w:rsidR="00E71037" w:rsidRPr="00D15A3A">
        <w:rPr>
          <w:rFonts w:ascii="Times New Roman" w:hAnsi="Times New Roman" w:cs="Times New Roman"/>
        </w:rPr>
        <w:t xml:space="preserve"> dal Torrente </w:t>
      </w:r>
      <w:proofErr w:type="spellStart"/>
      <w:r w:rsidR="00E71037" w:rsidRPr="00D15A3A">
        <w:rPr>
          <w:rFonts w:ascii="Times New Roman" w:hAnsi="Times New Roman" w:cs="Times New Roman"/>
        </w:rPr>
        <w:t>Borsacchio</w:t>
      </w:r>
      <w:proofErr w:type="spellEnd"/>
      <w:r w:rsidR="00E71037" w:rsidRPr="00D15A3A">
        <w:rPr>
          <w:rFonts w:ascii="Times New Roman" w:hAnsi="Times New Roman" w:cs="Times New Roman"/>
        </w:rPr>
        <w:t xml:space="preserve">, dal Fosso della Macciotta e dagli impluvi minori; dai calanchi e dalle piante ed i filari monumentali. Sono presenti anche edifici abbandonati che sono stati </w:t>
      </w:r>
      <w:proofErr w:type="spellStart"/>
      <w:r w:rsidR="00E71037" w:rsidRPr="00D15A3A">
        <w:rPr>
          <w:rFonts w:ascii="Times New Roman" w:hAnsi="Times New Roman" w:cs="Times New Roman"/>
        </w:rPr>
        <w:t>rinaturalizzati</w:t>
      </w:r>
      <w:proofErr w:type="spellEnd"/>
      <w:r w:rsidR="00E71037" w:rsidRPr="00D15A3A">
        <w:rPr>
          <w:rFonts w:ascii="Times New Roman" w:hAnsi="Times New Roman" w:cs="Times New Roman"/>
        </w:rPr>
        <w:t xml:space="preserve"> quali rifugio di alcune specie di chirotteri.</w:t>
      </w:r>
    </w:p>
    <w:p w14:paraId="595A5A97" w14:textId="77777777" w:rsidR="003B3F77" w:rsidRPr="00D15A3A" w:rsidRDefault="00E71037" w:rsidP="00691837">
      <w:pPr>
        <w:pStyle w:val="Default"/>
        <w:jc w:val="both"/>
        <w:rPr>
          <w:rFonts w:ascii="Times New Roman" w:hAnsi="Times New Roman" w:cs="Times New Roman"/>
        </w:rPr>
      </w:pPr>
      <w:r w:rsidRPr="00D15A3A">
        <w:rPr>
          <w:rFonts w:ascii="Times New Roman" w:hAnsi="Times New Roman" w:cs="Times New Roman"/>
        </w:rPr>
        <w:t xml:space="preserve">Occorre ribadire, in merito, che il citato art. 142, comma 1, lett. f), del Codice contempla, tra le categorie di beni tutelati paesaggisticamente per legge, </w:t>
      </w:r>
      <w:r w:rsidR="00933FF2" w:rsidRPr="00D15A3A">
        <w:rPr>
          <w:rFonts w:ascii="Times New Roman" w:hAnsi="Times New Roman" w:cs="Times New Roman"/>
          <w:b/>
        </w:rPr>
        <w:t>le riserve nazionali o regionali</w:t>
      </w:r>
      <w:r w:rsidR="00933FF2" w:rsidRPr="00D15A3A">
        <w:rPr>
          <w:rFonts w:ascii="Times New Roman" w:hAnsi="Times New Roman" w:cs="Times New Roman"/>
        </w:rPr>
        <w:t xml:space="preserve">, </w:t>
      </w:r>
      <w:r w:rsidRPr="00D15A3A">
        <w:rPr>
          <w:rFonts w:ascii="Times New Roman" w:hAnsi="Times New Roman" w:cs="Times New Roman"/>
        </w:rPr>
        <w:t>nonché</w:t>
      </w:r>
      <w:r w:rsidR="00933FF2" w:rsidRPr="00D15A3A">
        <w:rPr>
          <w:rFonts w:ascii="Times New Roman" w:hAnsi="Times New Roman" w:cs="Times New Roman"/>
        </w:rPr>
        <w:t xml:space="preserve"> i territori di protezione</w:t>
      </w:r>
      <w:r w:rsidRPr="00D15A3A">
        <w:rPr>
          <w:rFonts w:ascii="Times New Roman" w:hAnsi="Times New Roman" w:cs="Times New Roman"/>
        </w:rPr>
        <w:t xml:space="preserve"> </w:t>
      </w:r>
      <w:r w:rsidR="00933FF2" w:rsidRPr="00D15A3A">
        <w:rPr>
          <w:rFonts w:ascii="Times New Roman" w:hAnsi="Times New Roman" w:cs="Times New Roman"/>
        </w:rPr>
        <w:t xml:space="preserve">esterna dei parchi, </w:t>
      </w:r>
      <w:r w:rsidRPr="00D15A3A">
        <w:rPr>
          <w:rFonts w:ascii="Times New Roman" w:hAnsi="Times New Roman" w:cs="Times New Roman"/>
        </w:rPr>
        <w:t>già</w:t>
      </w:r>
      <w:r w:rsidR="00933FF2" w:rsidRPr="00D15A3A">
        <w:rPr>
          <w:rFonts w:ascii="Times New Roman" w:hAnsi="Times New Roman" w:cs="Times New Roman"/>
        </w:rPr>
        <w:t xml:space="preserve"> riconosciuti meritevoli di tutela </w:t>
      </w:r>
      <w:proofErr w:type="spellStart"/>
      <w:r w:rsidR="00933FF2" w:rsidRPr="00D15A3A">
        <w:rPr>
          <w:rFonts w:ascii="Times New Roman" w:hAnsi="Times New Roman" w:cs="Times New Roman"/>
        </w:rPr>
        <w:t>ope</w:t>
      </w:r>
      <w:proofErr w:type="spellEnd"/>
      <w:r w:rsidR="00933FF2" w:rsidRPr="00D15A3A">
        <w:rPr>
          <w:rFonts w:ascii="Times New Roman" w:hAnsi="Times New Roman" w:cs="Times New Roman"/>
        </w:rPr>
        <w:t xml:space="preserve"> legis</w:t>
      </w:r>
      <w:r w:rsidRPr="00D15A3A">
        <w:rPr>
          <w:rFonts w:ascii="Times New Roman" w:hAnsi="Times New Roman" w:cs="Times New Roman"/>
        </w:rPr>
        <w:t xml:space="preserve"> </w:t>
      </w:r>
      <w:r w:rsidR="00933FF2" w:rsidRPr="00D15A3A">
        <w:rPr>
          <w:rFonts w:ascii="Times New Roman" w:hAnsi="Times New Roman" w:cs="Times New Roman"/>
        </w:rPr>
        <w:t>dalla legge n. 431/1985 (c.d. legge Galasso), in quanto considerate</w:t>
      </w:r>
      <w:r w:rsidRPr="00D15A3A">
        <w:rPr>
          <w:rFonts w:ascii="Times New Roman" w:hAnsi="Times New Roman" w:cs="Times New Roman"/>
        </w:rPr>
        <w:t xml:space="preserve"> </w:t>
      </w:r>
      <w:r w:rsidR="00933FF2" w:rsidRPr="00D15A3A">
        <w:rPr>
          <w:rFonts w:ascii="Times New Roman" w:hAnsi="Times New Roman" w:cs="Times New Roman"/>
        </w:rPr>
        <w:t xml:space="preserve">"comunque di interesse paesaggistico" e </w:t>
      </w:r>
      <w:r w:rsidRPr="00D15A3A">
        <w:rPr>
          <w:rFonts w:ascii="Times New Roman" w:hAnsi="Times New Roman" w:cs="Times New Roman"/>
        </w:rPr>
        <w:t>perciò</w:t>
      </w:r>
      <w:r w:rsidR="00933FF2" w:rsidRPr="00D15A3A">
        <w:rPr>
          <w:rFonts w:ascii="Times New Roman" w:hAnsi="Times New Roman" w:cs="Times New Roman"/>
        </w:rPr>
        <w:t xml:space="preserve"> sottoposte alla</w:t>
      </w:r>
      <w:r w:rsidRPr="00D15A3A">
        <w:rPr>
          <w:rFonts w:ascii="Times New Roman" w:hAnsi="Times New Roman" w:cs="Times New Roman"/>
        </w:rPr>
        <w:t xml:space="preserve"> </w:t>
      </w:r>
      <w:r w:rsidR="00933FF2" w:rsidRPr="00D15A3A">
        <w:rPr>
          <w:rFonts w:ascii="Times New Roman" w:hAnsi="Times New Roman" w:cs="Times New Roman"/>
        </w:rPr>
        <w:t>normativa di tutela. Il contesto naturalistico-ambientale di spiccato rilievo</w:t>
      </w:r>
      <w:r w:rsidRPr="00D15A3A">
        <w:rPr>
          <w:rFonts w:ascii="Times New Roman" w:hAnsi="Times New Roman" w:cs="Times New Roman"/>
        </w:rPr>
        <w:t xml:space="preserve"> </w:t>
      </w:r>
      <w:r w:rsidR="00933FF2" w:rsidRPr="00D15A3A">
        <w:rPr>
          <w:rFonts w:ascii="Times New Roman" w:hAnsi="Times New Roman" w:cs="Times New Roman"/>
        </w:rPr>
        <w:t>paesaggistico, costituito dal</w:t>
      </w:r>
      <w:r w:rsidRPr="00D15A3A">
        <w:rPr>
          <w:rFonts w:ascii="Times New Roman" w:hAnsi="Times New Roman" w:cs="Times New Roman"/>
        </w:rPr>
        <w:t>la Riserva Naturale Re</w:t>
      </w:r>
      <w:r w:rsidR="00933FF2" w:rsidRPr="00D15A3A">
        <w:rPr>
          <w:rFonts w:ascii="Times New Roman" w:hAnsi="Times New Roman" w:cs="Times New Roman"/>
        </w:rPr>
        <w:t xml:space="preserve">gionale </w:t>
      </w:r>
      <w:r w:rsidRPr="00D15A3A">
        <w:rPr>
          <w:rFonts w:ascii="Times New Roman" w:hAnsi="Times New Roman" w:cs="Times New Roman"/>
        </w:rPr>
        <w:t xml:space="preserve">del </w:t>
      </w:r>
      <w:proofErr w:type="spellStart"/>
      <w:r w:rsidRPr="00D15A3A">
        <w:rPr>
          <w:rFonts w:ascii="Times New Roman" w:hAnsi="Times New Roman" w:cs="Times New Roman"/>
        </w:rPr>
        <w:t>Borsacchio</w:t>
      </w:r>
      <w:proofErr w:type="spellEnd"/>
      <w:r w:rsidR="00933FF2" w:rsidRPr="00D15A3A">
        <w:rPr>
          <w:rFonts w:ascii="Times New Roman" w:hAnsi="Times New Roman" w:cs="Times New Roman"/>
        </w:rPr>
        <w:t xml:space="preserve"> risulta, quindi, integralmente tutelato </w:t>
      </w:r>
      <w:proofErr w:type="spellStart"/>
      <w:r w:rsidR="00933FF2" w:rsidRPr="00D15A3A">
        <w:rPr>
          <w:rFonts w:ascii="Times New Roman" w:hAnsi="Times New Roman" w:cs="Times New Roman"/>
        </w:rPr>
        <w:t>ope</w:t>
      </w:r>
      <w:proofErr w:type="spellEnd"/>
      <w:r w:rsidR="00933FF2" w:rsidRPr="00D15A3A">
        <w:rPr>
          <w:rFonts w:ascii="Times New Roman" w:hAnsi="Times New Roman" w:cs="Times New Roman"/>
        </w:rPr>
        <w:t xml:space="preserve"> legis</w:t>
      </w:r>
      <w:r w:rsidRPr="00D15A3A">
        <w:rPr>
          <w:rFonts w:ascii="Times New Roman" w:hAnsi="Times New Roman" w:cs="Times New Roman"/>
        </w:rPr>
        <w:t xml:space="preserve"> </w:t>
      </w:r>
      <w:r w:rsidR="00933FF2" w:rsidRPr="00D15A3A">
        <w:rPr>
          <w:rFonts w:ascii="Times New Roman" w:hAnsi="Times New Roman" w:cs="Times New Roman"/>
        </w:rPr>
        <w:t>anche dal punto di vista paesaggistico, oltre che dal punto di vista</w:t>
      </w:r>
      <w:r w:rsidRPr="00D15A3A">
        <w:rPr>
          <w:rFonts w:ascii="Times New Roman" w:hAnsi="Times New Roman" w:cs="Times New Roman"/>
        </w:rPr>
        <w:t xml:space="preserve"> </w:t>
      </w:r>
      <w:r w:rsidR="00933FF2" w:rsidRPr="00D15A3A">
        <w:rPr>
          <w:rFonts w:ascii="Times New Roman" w:hAnsi="Times New Roman" w:cs="Times New Roman"/>
        </w:rPr>
        <w:t xml:space="preserve">naturalistico, da </w:t>
      </w:r>
      <w:r w:rsidRPr="00D15A3A">
        <w:rPr>
          <w:rFonts w:ascii="Times New Roman" w:hAnsi="Times New Roman" w:cs="Times New Roman"/>
        </w:rPr>
        <w:t>quasi vent’</w:t>
      </w:r>
      <w:r w:rsidR="00933FF2" w:rsidRPr="00D15A3A">
        <w:rPr>
          <w:rFonts w:ascii="Times New Roman" w:hAnsi="Times New Roman" w:cs="Times New Roman"/>
        </w:rPr>
        <w:t>anni.</w:t>
      </w:r>
    </w:p>
    <w:p w14:paraId="7A5245F1" w14:textId="77777777" w:rsidR="003B3F77" w:rsidRPr="00D15A3A" w:rsidRDefault="00770BB4" w:rsidP="00691837">
      <w:pPr>
        <w:pStyle w:val="Default"/>
        <w:jc w:val="both"/>
        <w:rPr>
          <w:rFonts w:ascii="Times New Roman" w:hAnsi="Times New Roman" w:cs="Times New Roman"/>
        </w:rPr>
      </w:pPr>
      <w:r w:rsidRPr="00D15A3A">
        <w:rPr>
          <w:rFonts w:ascii="Times New Roman" w:hAnsi="Times New Roman" w:cs="Times New Roman"/>
        </w:rPr>
        <w:t>La modifica unilaterale dei confini della Riserva regionale, in senso riduttivo, da parte della Regio</w:t>
      </w:r>
      <w:r w:rsidR="00D15A3A" w:rsidRPr="00D15A3A">
        <w:rPr>
          <w:rFonts w:ascii="Times New Roman" w:hAnsi="Times New Roman" w:cs="Times New Roman"/>
        </w:rPr>
        <w:t>ne è</w:t>
      </w:r>
      <w:r w:rsidRPr="00D15A3A">
        <w:rPr>
          <w:rFonts w:ascii="Times New Roman" w:hAnsi="Times New Roman" w:cs="Times New Roman"/>
        </w:rPr>
        <w:t xml:space="preserve"> costituzionalmente illegittima in quanto quasi tutto il territorio della Riserva </w:t>
      </w:r>
      <w:r w:rsidR="00D15A3A" w:rsidRPr="00D15A3A">
        <w:rPr>
          <w:rFonts w:ascii="Times New Roman" w:hAnsi="Times New Roman" w:cs="Times New Roman"/>
        </w:rPr>
        <w:t>Naturale</w:t>
      </w:r>
      <w:r w:rsidRPr="00D15A3A">
        <w:rPr>
          <w:rFonts w:ascii="Times New Roman" w:hAnsi="Times New Roman" w:cs="Times New Roman"/>
        </w:rPr>
        <w:t xml:space="preserve"> regionale, pur mantenendo invariati i caratteri di pregio riconosciuti da oltre vent'anni, viene escluso dal perimetro della Riserva </w:t>
      </w:r>
      <w:r w:rsidR="00D15A3A" w:rsidRPr="00D15A3A">
        <w:rPr>
          <w:rFonts w:ascii="Times New Roman" w:hAnsi="Times New Roman" w:cs="Times New Roman"/>
        </w:rPr>
        <w:t xml:space="preserve">stessa </w:t>
      </w:r>
      <w:r w:rsidRPr="00D15A3A">
        <w:rPr>
          <w:rFonts w:ascii="Times New Roman" w:hAnsi="Times New Roman" w:cs="Times New Roman"/>
        </w:rPr>
        <w:t xml:space="preserve">e, conseguentemente, </w:t>
      </w:r>
      <w:r w:rsidRPr="00D15A3A">
        <w:rPr>
          <w:rFonts w:ascii="Times New Roman" w:hAnsi="Times New Roman" w:cs="Times New Roman"/>
          <w:b/>
        </w:rPr>
        <w:t>sottratto oltre che alla tutela naturalistica anche a quella paesaggistica</w:t>
      </w:r>
      <w:r w:rsidRPr="00D15A3A">
        <w:rPr>
          <w:rFonts w:ascii="Times New Roman" w:hAnsi="Times New Roman" w:cs="Times New Roman"/>
        </w:rPr>
        <w:t xml:space="preserve">. In merito si evidenzia come una costante giurisprudenza della Corte riconosce alle Regioni, in materia ambientale, la potestà di dettare leggi volte unicamente a incrementare il livello della tutela, </w:t>
      </w:r>
      <w:r w:rsidRPr="00D15A3A">
        <w:rPr>
          <w:rFonts w:ascii="Times New Roman" w:hAnsi="Times New Roman" w:cs="Times New Roman"/>
          <w:b/>
        </w:rPr>
        <w:t>e non certo a ridurlo</w:t>
      </w:r>
      <w:r w:rsidRPr="00D15A3A">
        <w:rPr>
          <w:rFonts w:ascii="Times New Roman" w:hAnsi="Times New Roman" w:cs="Times New Roman"/>
        </w:rPr>
        <w:t xml:space="preserve">. La Corte ha riconosciuto alle Regioni un ruolo </w:t>
      </w:r>
      <w:r w:rsidRPr="00D15A3A">
        <w:rPr>
          <w:rFonts w:ascii="Times New Roman" w:hAnsi="Times New Roman" w:cs="Times New Roman"/>
          <w:b/>
        </w:rPr>
        <w:t>integrativo e concorrente, meramente aggiuntivo e non sostitutivo</w:t>
      </w:r>
      <w:r w:rsidRPr="00D15A3A">
        <w:rPr>
          <w:rFonts w:ascii="Times New Roman" w:hAnsi="Times New Roman" w:cs="Times New Roman"/>
        </w:rPr>
        <w:t>, della potestà statale in materia di tutela dei beni culturali (cfr. sentenza Corte cost. n. 194/2013); ruolo da ritenersi analogamente predicabile anche in materia di tutela del paesaggio, ove le Regioni esercitano le specifiche competenze amministrative alle stesse attribuite dal Codice.</w:t>
      </w:r>
    </w:p>
    <w:p w14:paraId="41522EC1" w14:textId="77777777" w:rsidR="009D0D67" w:rsidRPr="00D15A3A" w:rsidRDefault="009D0D67" w:rsidP="006607EB">
      <w:pPr>
        <w:pStyle w:val="Default"/>
        <w:rPr>
          <w:rFonts w:ascii="Times New Roman" w:hAnsi="Times New Roman" w:cs="Times New Roman"/>
        </w:rPr>
      </w:pPr>
    </w:p>
    <w:p w14:paraId="08D873DD" w14:textId="77777777" w:rsidR="00691837" w:rsidRPr="00691837" w:rsidRDefault="002A42E9" w:rsidP="005F5C0E">
      <w:pPr>
        <w:pStyle w:val="Corpotesto"/>
      </w:pPr>
      <w:r w:rsidRPr="00D15A3A">
        <w:t xml:space="preserve">Per quanto sopra evidenziato si chiede di voler </w:t>
      </w:r>
      <w:r w:rsidRPr="00D15A3A">
        <w:rPr>
          <w:b/>
        </w:rPr>
        <w:t>impugnare in via principale</w:t>
      </w:r>
      <w:r w:rsidRPr="00D15A3A">
        <w:t xml:space="preserve"> </w:t>
      </w:r>
      <w:r w:rsidR="00691837" w:rsidRPr="00D15A3A">
        <w:rPr>
          <w:b/>
        </w:rPr>
        <w:t>l’art. 25</w:t>
      </w:r>
      <w:r w:rsidR="00691837" w:rsidRPr="00D15A3A">
        <w:t xml:space="preserve"> della </w:t>
      </w:r>
      <w:proofErr w:type="spellStart"/>
      <w:r w:rsidR="00691837" w:rsidRPr="00D15A3A">
        <w:t>l.r</w:t>
      </w:r>
      <w:proofErr w:type="spellEnd"/>
      <w:r w:rsidR="00691837" w:rsidRPr="00D15A3A">
        <w:t>.</w:t>
      </w:r>
      <w:r w:rsidR="00691837" w:rsidRPr="00D15A3A">
        <w:rPr>
          <w:bCs/>
          <w:color w:val="000000"/>
        </w:rPr>
        <w:t xml:space="preserve"> 25 gennaio 2024, n. 4 (Disposizioni finanziarie per la redazione del Bilancio di previsione finanziario 2024- 2026 della Regione Abruzzo (Legge di stabilità regionale 2024))</w:t>
      </w:r>
      <w:r w:rsidR="00691837" w:rsidRPr="00D15A3A">
        <w:rPr>
          <w:b/>
          <w:bCs/>
          <w:color w:val="000000"/>
        </w:rPr>
        <w:t xml:space="preserve"> </w:t>
      </w:r>
      <w:r w:rsidR="00691837" w:rsidRPr="00D15A3A">
        <w:rPr>
          <w:bCs/>
          <w:color w:val="000000"/>
        </w:rPr>
        <w:t>sia</w:t>
      </w:r>
      <w:r w:rsidR="00691837" w:rsidRPr="00D15A3A">
        <w:rPr>
          <w:b/>
          <w:bCs/>
          <w:color w:val="000000"/>
        </w:rPr>
        <w:t xml:space="preserve"> </w:t>
      </w:r>
      <w:r w:rsidR="00691837" w:rsidRPr="00D15A3A">
        <w:t>sotto il profilo della tutela ambientale per violazione degli art.</w:t>
      </w:r>
      <w:r w:rsidR="008A5D89" w:rsidRPr="00D15A3A">
        <w:t xml:space="preserve"> </w:t>
      </w:r>
      <w:r w:rsidR="00691837" w:rsidRPr="00D15A3A">
        <w:t xml:space="preserve">9, secondo comma, e 117, secondo comma, lett. s) della </w:t>
      </w:r>
      <w:r w:rsidR="00691837" w:rsidRPr="00D15A3A">
        <w:lastRenderedPageBreak/>
        <w:t>Costituzione; sia sotto il profilo della tutel</w:t>
      </w:r>
      <w:r w:rsidR="00691837">
        <w:t>a paesaggistica per violazione degli artt. 3,</w:t>
      </w:r>
      <w:r w:rsidR="008A5D89">
        <w:t xml:space="preserve"> </w:t>
      </w:r>
      <w:r w:rsidR="00691837">
        <w:t>9, secondo comma</w:t>
      </w:r>
      <w:r w:rsidR="00691837" w:rsidRPr="00691837">
        <w:t>, 97 e 117, secondo comma, lettere m) ed s), Cost</w:t>
      </w:r>
      <w:r w:rsidR="00691837">
        <w:t>ituzione</w:t>
      </w:r>
      <w:r w:rsidR="00691837" w:rsidRPr="00691837">
        <w:t xml:space="preserve">, </w:t>
      </w:r>
      <w:r w:rsidR="005F5C0E">
        <w:t>in relazione al</w:t>
      </w:r>
      <w:r w:rsidR="00691837">
        <w:t xml:space="preserve">l'art.142, comma 1, lett. f), del Codice dei beni culturali e del paesaggio </w:t>
      </w:r>
      <w:r w:rsidR="005F5C0E">
        <w:t>d</w:t>
      </w:r>
      <w:r w:rsidR="00691837">
        <w:t>i cui al d.lgs. 42/2004</w:t>
      </w:r>
      <w:r w:rsidR="005F5C0E">
        <w:t xml:space="preserve"> e alla legge n. 431/1985.</w:t>
      </w:r>
    </w:p>
    <w:p w14:paraId="72E19F47" w14:textId="77777777" w:rsidR="00691837" w:rsidRDefault="00691837" w:rsidP="009D0D67">
      <w:pPr>
        <w:pStyle w:val="Corpotesto"/>
      </w:pPr>
    </w:p>
    <w:p w14:paraId="54A85742" w14:textId="77777777" w:rsidR="00E03A3A" w:rsidRPr="000E0EAB" w:rsidRDefault="00E03A3A">
      <w:pPr>
        <w:pStyle w:val="Corpotesto"/>
        <w:rPr>
          <w:bCs/>
        </w:rPr>
      </w:pPr>
      <w:r w:rsidRPr="000E0EAB">
        <w:rPr>
          <w:bCs/>
        </w:rPr>
        <w:t xml:space="preserve">In attesa di un cortese riscontro </w:t>
      </w:r>
      <w:r w:rsidR="00A360DF" w:rsidRPr="000E0EAB">
        <w:rPr>
          <w:bCs/>
        </w:rPr>
        <w:t>si invian</w:t>
      </w:r>
      <w:r w:rsidR="003E758B" w:rsidRPr="000E0EAB">
        <w:rPr>
          <w:bCs/>
        </w:rPr>
        <w:t>o</w:t>
      </w:r>
      <w:r w:rsidR="0068646F" w:rsidRPr="000E0EAB">
        <w:rPr>
          <w:bCs/>
        </w:rPr>
        <w:t xml:space="preserve"> cordial</w:t>
      </w:r>
      <w:r w:rsidRPr="000E0EAB">
        <w:rPr>
          <w:bCs/>
        </w:rPr>
        <w:t xml:space="preserve">i saluti. </w:t>
      </w:r>
    </w:p>
    <w:p w14:paraId="5928718A" w14:textId="77777777" w:rsidR="009B4A0E" w:rsidRPr="000936B3" w:rsidRDefault="009B4A0E">
      <w:pPr>
        <w:pStyle w:val="Corpotesto"/>
        <w:rPr>
          <w:sz w:val="28"/>
        </w:rPr>
      </w:pPr>
    </w:p>
    <w:p w14:paraId="7F98B0EB" w14:textId="77777777" w:rsidR="00A360DF" w:rsidRPr="000936B3" w:rsidRDefault="00A360DF" w:rsidP="004D5B49">
      <w:pPr>
        <w:pStyle w:val="Corpotesto"/>
        <w:tabs>
          <w:tab w:val="center" w:pos="6237"/>
        </w:tabs>
        <w:rPr>
          <w:sz w:val="28"/>
        </w:rPr>
      </w:pPr>
      <w:r>
        <w:rPr>
          <w:sz w:val="28"/>
        </w:rPr>
        <w:tab/>
      </w:r>
    </w:p>
    <w:p w14:paraId="1FC815E5" w14:textId="77777777" w:rsidR="00E03A3A" w:rsidRPr="000E0EAB" w:rsidRDefault="000E0EAB">
      <w:pPr>
        <w:pStyle w:val="Corpotesto"/>
      </w:pPr>
      <w:r>
        <w:rPr>
          <w:sz w:val="28"/>
        </w:rPr>
        <w:tab/>
      </w:r>
      <w:r w:rsidRPr="000E0EAB">
        <w:t>Il Segretario Generale</w:t>
      </w:r>
      <w:r w:rsidRPr="000E0EAB">
        <w:tab/>
      </w:r>
      <w:r w:rsidRPr="000E0EAB">
        <w:tab/>
      </w:r>
      <w:r w:rsidRPr="000E0EAB">
        <w:tab/>
      </w:r>
      <w:r w:rsidRPr="000E0EAB">
        <w:tab/>
      </w:r>
      <w:r w:rsidRPr="000E0EAB">
        <w:tab/>
        <w:t xml:space="preserve">   Il Segretario Generale</w:t>
      </w:r>
    </w:p>
    <w:p w14:paraId="59FCA2AB" w14:textId="77777777" w:rsidR="000E0EAB" w:rsidRPr="000E0EAB" w:rsidRDefault="000E0EAB">
      <w:pPr>
        <w:pStyle w:val="Corpotesto"/>
      </w:pPr>
      <w:r w:rsidRPr="000E0EAB">
        <w:tab/>
        <w:t>CGIL Abruzzo Molise</w:t>
      </w:r>
      <w:r w:rsidRPr="000E0EAB">
        <w:tab/>
      </w:r>
      <w:r w:rsidRPr="000E0EAB">
        <w:tab/>
      </w:r>
      <w:r w:rsidRPr="000E0EAB">
        <w:tab/>
      </w:r>
      <w:proofErr w:type="gramStart"/>
      <w:r w:rsidRPr="000E0EAB">
        <w:tab/>
      </w:r>
      <w:r>
        <w:t xml:space="preserve">  </w:t>
      </w:r>
      <w:r w:rsidRPr="000E0EAB">
        <w:t>Fp</w:t>
      </w:r>
      <w:proofErr w:type="gramEnd"/>
      <w:r w:rsidRPr="000E0EAB">
        <w:t xml:space="preserve"> CGIL Abruzzo Molise</w:t>
      </w:r>
    </w:p>
    <w:p w14:paraId="4BF967F7" w14:textId="77777777" w:rsidR="00E03A3A" w:rsidRDefault="00E03A3A" w:rsidP="00EC091E">
      <w:pPr>
        <w:pStyle w:val="Corpotesto"/>
      </w:pPr>
      <w:r w:rsidRPr="000E0EAB">
        <w:tab/>
      </w:r>
      <w:r w:rsidR="000E0EAB" w:rsidRPr="000E0EAB">
        <w:t xml:space="preserve">    Carmine Ranieri</w:t>
      </w:r>
      <w:r w:rsidRPr="000E0EAB">
        <w:tab/>
      </w:r>
      <w:r w:rsidRPr="000E0EAB">
        <w:tab/>
        <w:t xml:space="preserve">               </w:t>
      </w:r>
      <w:r w:rsidRPr="000E0EAB">
        <w:tab/>
      </w:r>
      <w:r w:rsidRPr="000E0EAB">
        <w:tab/>
      </w:r>
      <w:r w:rsidRPr="000E0EAB">
        <w:tab/>
      </w:r>
      <w:r w:rsidR="000E0EAB" w:rsidRPr="000E0EAB">
        <w:t>Luca Fusari</w:t>
      </w:r>
    </w:p>
    <w:sectPr w:rsidR="00E03A3A" w:rsidSect="007A293E">
      <w:headerReference w:type="even" r:id="rId13"/>
      <w:headerReference w:type="default" r:id="rId14"/>
      <w:footerReference w:type="default" r:id="rId15"/>
      <w:pgSz w:w="11906" w:h="16838"/>
      <w:pgMar w:top="2642" w:right="1134" w:bottom="1134" w:left="1134" w:header="708" w:footer="8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DA26" w14:textId="77777777" w:rsidR="007A293E" w:rsidRDefault="007A293E">
      <w:r>
        <w:separator/>
      </w:r>
    </w:p>
  </w:endnote>
  <w:endnote w:type="continuationSeparator" w:id="0">
    <w:p w14:paraId="453A3BCD" w14:textId="77777777" w:rsidR="007A293E" w:rsidRDefault="007A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E623" w14:textId="77777777" w:rsidR="00DA223F" w:rsidRDefault="00585F6F">
    <w:pPr>
      <w:pStyle w:val="Pidipagina"/>
      <w:jc w:val="right"/>
    </w:pPr>
    <w:r>
      <w:fldChar w:fldCharType="begin"/>
    </w:r>
    <w:r>
      <w:instrText xml:space="preserve"> PAGE   \* MERGEFORMAT </w:instrText>
    </w:r>
    <w:r>
      <w:fldChar w:fldCharType="separate"/>
    </w:r>
    <w:r w:rsidR="00B0151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F6E6E" w14:textId="77777777" w:rsidR="007A293E" w:rsidRDefault="007A293E">
      <w:r>
        <w:separator/>
      </w:r>
    </w:p>
  </w:footnote>
  <w:footnote w:type="continuationSeparator" w:id="0">
    <w:p w14:paraId="273B45BB" w14:textId="77777777" w:rsidR="007A293E" w:rsidRDefault="007A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7E8BE" w14:textId="77777777" w:rsidR="00E03A3A" w:rsidRDefault="00933988">
    <w:pPr>
      <w:pStyle w:val="Intestazione"/>
      <w:framePr w:wrap="around" w:vAnchor="text" w:hAnchor="margin" w:xAlign="center" w:y="1"/>
      <w:rPr>
        <w:rStyle w:val="Numeropagina"/>
      </w:rPr>
    </w:pPr>
    <w:r>
      <w:rPr>
        <w:rStyle w:val="Numeropagina"/>
      </w:rPr>
      <w:fldChar w:fldCharType="begin"/>
    </w:r>
    <w:r w:rsidR="00E03A3A">
      <w:rPr>
        <w:rStyle w:val="Numeropagina"/>
      </w:rPr>
      <w:instrText xml:space="preserve">PAGE  </w:instrText>
    </w:r>
    <w:r>
      <w:rPr>
        <w:rStyle w:val="Numeropagina"/>
      </w:rPr>
      <w:fldChar w:fldCharType="end"/>
    </w:r>
  </w:p>
  <w:p w14:paraId="6F08AA85" w14:textId="77777777" w:rsidR="00E03A3A" w:rsidRDefault="00E03A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AC09E" w14:textId="77777777" w:rsidR="00E03A3A" w:rsidRDefault="009D7FD2">
    <w:pPr>
      <w:pStyle w:val="Intestazione"/>
    </w:pPr>
    <w:r>
      <w:rPr>
        <w:noProof/>
      </w:rPr>
      <w:drawing>
        <wp:anchor distT="0" distB="0" distL="114300" distR="114300" simplePos="0" relativeHeight="251658240" behindDoc="0" locked="0" layoutInCell="1" allowOverlap="1" wp14:anchorId="6F67EE42" wp14:editId="012C4D85">
          <wp:simplePos x="0" y="0"/>
          <wp:positionH relativeFrom="column">
            <wp:posOffset>4722495</wp:posOffset>
          </wp:positionH>
          <wp:positionV relativeFrom="paragraph">
            <wp:posOffset>-139700</wp:posOffset>
          </wp:positionV>
          <wp:extent cx="1049020" cy="1196975"/>
          <wp:effectExtent l="0" t="0" r="0" b="3175"/>
          <wp:wrapThrough wrapText="bothSides">
            <wp:wrapPolygon edited="0">
              <wp:start x="0" y="0"/>
              <wp:lineTo x="0" y="21314"/>
              <wp:lineTo x="21182" y="21314"/>
              <wp:lineTo x="21182" y="0"/>
              <wp:lineTo x="0" y="0"/>
            </wp:wrapPolygon>
          </wp:wrapThrough>
          <wp:docPr id="9" name="officeArt object"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mag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49020" cy="1196975"/>
                  </a:xfrm>
                  <a:prstGeom prst="rect">
                    <a:avLst/>
                  </a:prstGeom>
                </pic:spPr>
              </pic:pic>
            </a:graphicData>
          </a:graphic>
          <wp14:sizeRelH relativeFrom="margin">
            <wp14:pctWidth>0</wp14:pctWidth>
          </wp14:sizeRelH>
          <wp14:sizeRelV relativeFrom="margin">
            <wp14:pctHeight>0</wp14:pctHeight>
          </wp14:sizeRelV>
        </wp:anchor>
      </w:drawing>
    </w:r>
    <w:r w:rsidR="005E7DE9" w:rsidRPr="005E7DE9">
      <w:rPr>
        <w:rFonts w:ascii="Arial" w:hAnsi="Arial" w:cs="Arial"/>
        <w:b/>
        <w:noProof/>
        <w:sz w:val="28"/>
      </w:rPr>
      <w:drawing>
        <wp:anchor distT="0" distB="0" distL="114300" distR="114300" simplePos="0" relativeHeight="251660288" behindDoc="0" locked="0" layoutInCell="1" allowOverlap="1" wp14:anchorId="1BA69E64" wp14:editId="62172936">
          <wp:simplePos x="0" y="0"/>
          <wp:positionH relativeFrom="column">
            <wp:posOffset>46990</wp:posOffset>
          </wp:positionH>
          <wp:positionV relativeFrom="paragraph">
            <wp:posOffset>-254000</wp:posOffset>
          </wp:positionV>
          <wp:extent cx="1120775" cy="1385570"/>
          <wp:effectExtent l="0" t="0" r="3175" b="5080"/>
          <wp:wrapThrough wrapText="bothSides">
            <wp:wrapPolygon edited="0">
              <wp:start x="0" y="0"/>
              <wp:lineTo x="0" y="21382"/>
              <wp:lineTo x="21294" y="21382"/>
              <wp:lineTo x="21294" y="0"/>
              <wp:lineTo x="0" y="0"/>
            </wp:wrapPolygon>
          </wp:wrapThrough>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0775" cy="1385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C9E">
      <w:rPr>
        <w:rFonts w:ascii="Arial" w:hAnsi="Arial" w:cs="Arial"/>
        <w:b/>
        <w:sz w:val="28"/>
        <w:lang w:val="fr-FR"/>
      </w:rPr>
      <w:tab/>
    </w:r>
    <w:r w:rsidR="00AD3C9E">
      <w:rPr>
        <w:rFonts w:ascii="Arial" w:hAnsi="Arial" w:cs="Arial"/>
        <w:b/>
        <w:sz w:val="28"/>
        <w:lang w:val="fr-FR"/>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9198F"/>
    <w:multiLevelType w:val="hybridMultilevel"/>
    <w:tmpl w:val="74CAFCCC"/>
    <w:lvl w:ilvl="0" w:tplc="04100001">
      <w:start w:val="1"/>
      <w:numFmt w:val="bullet"/>
      <w:lvlText w:val=""/>
      <w:lvlJc w:val="left"/>
      <w:pPr>
        <w:ind w:left="1515" w:hanging="360"/>
      </w:pPr>
      <w:rPr>
        <w:rFonts w:ascii="Symbol" w:hAnsi="Symbol" w:hint="default"/>
      </w:rPr>
    </w:lvl>
    <w:lvl w:ilvl="1" w:tplc="04100003" w:tentative="1">
      <w:start w:val="1"/>
      <w:numFmt w:val="bullet"/>
      <w:lvlText w:val="o"/>
      <w:lvlJc w:val="left"/>
      <w:pPr>
        <w:ind w:left="2235" w:hanging="360"/>
      </w:pPr>
      <w:rPr>
        <w:rFonts w:ascii="Courier New" w:hAnsi="Courier New" w:cs="Courier New" w:hint="default"/>
      </w:rPr>
    </w:lvl>
    <w:lvl w:ilvl="2" w:tplc="04100005" w:tentative="1">
      <w:start w:val="1"/>
      <w:numFmt w:val="bullet"/>
      <w:lvlText w:val=""/>
      <w:lvlJc w:val="left"/>
      <w:pPr>
        <w:ind w:left="2955" w:hanging="360"/>
      </w:pPr>
      <w:rPr>
        <w:rFonts w:ascii="Wingdings" w:hAnsi="Wingdings" w:hint="default"/>
      </w:rPr>
    </w:lvl>
    <w:lvl w:ilvl="3" w:tplc="04100001" w:tentative="1">
      <w:start w:val="1"/>
      <w:numFmt w:val="bullet"/>
      <w:lvlText w:val=""/>
      <w:lvlJc w:val="left"/>
      <w:pPr>
        <w:ind w:left="3675" w:hanging="360"/>
      </w:pPr>
      <w:rPr>
        <w:rFonts w:ascii="Symbol" w:hAnsi="Symbol" w:hint="default"/>
      </w:rPr>
    </w:lvl>
    <w:lvl w:ilvl="4" w:tplc="04100003" w:tentative="1">
      <w:start w:val="1"/>
      <w:numFmt w:val="bullet"/>
      <w:lvlText w:val="o"/>
      <w:lvlJc w:val="left"/>
      <w:pPr>
        <w:ind w:left="4395" w:hanging="360"/>
      </w:pPr>
      <w:rPr>
        <w:rFonts w:ascii="Courier New" w:hAnsi="Courier New" w:cs="Courier New" w:hint="default"/>
      </w:rPr>
    </w:lvl>
    <w:lvl w:ilvl="5" w:tplc="04100005" w:tentative="1">
      <w:start w:val="1"/>
      <w:numFmt w:val="bullet"/>
      <w:lvlText w:val=""/>
      <w:lvlJc w:val="left"/>
      <w:pPr>
        <w:ind w:left="5115" w:hanging="360"/>
      </w:pPr>
      <w:rPr>
        <w:rFonts w:ascii="Wingdings" w:hAnsi="Wingdings" w:hint="default"/>
      </w:rPr>
    </w:lvl>
    <w:lvl w:ilvl="6" w:tplc="04100001" w:tentative="1">
      <w:start w:val="1"/>
      <w:numFmt w:val="bullet"/>
      <w:lvlText w:val=""/>
      <w:lvlJc w:val="left"/>
      <w:pPr>
        <w:ind w:left="5835" w:hanging="360"/>
      </w:pPr>
      <w:rPr>
        <w:rFonts w:ascii="Symbol" w:hAnsi="Symbol" w:hint="default"/>
      </w:rPr>
    </w:lvl>
    <w:lvl w:ilvl="7" w:tplc="04100003" w:tentative="1">
      <w:start w:val="1"/>
      <w:numFmt w:val="bullet"/>
      <w:lvlText w:val="o"/>
      <w:lvlJc w:val="left"/>
      <w:pPr>
        <w:ind w:left="6555" w:hanging="360"/>
      </w:pPr>
      <w:rPr>
        <w:rFonts w:ascii="Courier New" w:hAnsi="Courier New" w:cs="Courier New" w:hint="default"/>
      </w:rPr>
    </w:lvl>
    <w:lvl w:ilvl="8" w:tplc="04100005" w:tentative="1">
      <w:start w:val="1"/>
      <w:numFmt w:val="bullet"/>
      <w:lvlText w:val=""/>
      <w:lvlJc w:val="left"/>
      <w:pPr>
        <w:ind w:left="7275" w:hanging="360"/>
      </w:pPr>
      <w:rPr>
        <w:rFonts w:ascii="Wingdings" w:hAnsi="Wingdings" w:hint="default"/>
      </w:rPr>
    </w:lvl>
  </w:abstractNum>
  <w:abstractNum w:abstractNumId="1" w15:restartNumberingAfterBreak="0">
    <w:nsid w:val="37200789"/>
    <w:multiLevelType w:val="hybridMultilevel"/>
    <w:tmpl w:val="90D003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D2D03"/>
    <w:multiLevelType w:val="hybridMultilevel"/>
    <w:tmpl w:val="1BF01F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34C42BD"/>
    <w:multiLevelType w:val="hybridMultilevel"/>
    <w:tmpl w:val="1170310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4" w15:restartNumberingAfterBreak="0">
    <w:nsid w:val="582005B2"/>
    <w:multiLevelType w:val="hybridMultilevel"/>
    <w:tmpl w:val="658E6DA8"/>
    <w:lvl w:ilvl="0" w:tplc="05C0EC14">
      <w:start w:val="187"/>
      <w:numFmt w:val="decimalZero"/>
      <w:lvlText w:val="%1"/>
      <w:lvlJc w:val="left"/>
      <w:pPr>
        <w:tabs>
          <w:tab w:val="num" w:pos="4485"/>
        </w:tabs>
        <w:ind w:left="4485" w:hanging="945"/>
      </w:pPr>
      <w:rPr>
        <w:rFonts w:hint="default"/>
      </w:rPr>
    </w:lvl>
    <w:lvl w:ilvl="1" w:tplc="04100019" w:tentative="1">
      <w:start w:val="1"/>
      <w:numFmt w:val="lowerLetter"/>
      <w:lvlText w:val="%2."/>
      <w:lvlJc w:val="left"/>
      <w:pPr>
        <w:tabs>
          <w:tab w:val="num" w:pos="4620"/>
        </w:tabs>
        <w:ind w:left="4620" w:hanging="360"/>
      </w:pPr>
    </w:lvl>
    <w:lvl w:ilvl="2" w:tplc="0410001B" w:tentative="1">
      <w:start w:val="1"/>
      <w:numFmt w:val="lowerRoman"/>
      <w:lvlText w:val="%3."/>
      <w:lvlJc w:val="right"/>
      <w:pPr>
        <w:tabs>
          <w:tab w:val="num" w:pos="5340"/>
        </w:tabs>
        <w:ind w:left="5340" w:hanging="180"/>
      </w:pPr>
    </w:lvl>
    <w:lvl w:ilvl="3" w:tplc="0410000F" w:tentative="1">
      <w:start w:val="1"/>
      <w:numFmt w:val="decimal"/>
      <w:lvlText w:val="%4."/>
      <w:lvlJc w:val="left"/>
      <w:pPr>
        <w:tabs>
          <w:tab w:val="num" w:pos="6060"/>
        </w:tabs>
        <w:ind w:left="6060" w:hanging="360"/>
      </w:pPr>
    </w:lvl>
    <w:lvl w:ilvl="4" w:tplc="04100019" w:tentative="1">
      <w:start w:val="1"/>
      <w:numFmt w:val="lowerLetter"/>
      <w:lvlText w:val="%5."/>
      <w:lvlJc w:val="left"/>
      <w:pPr>
        <w:tabs>
          <w:tab w:val="num" w:pos="6780"/>
        </w:tabs>
        <w:ind w:left="6780" w:hanging="360"/>
      </w:pPr>
    </w:lvl>
    <w:lvl w:ilvl="5" w:tplc="0410001B" w:tentative="1">
      <w:start w:val="1"/>
      <w:numFmt w:val="lowerRoman"/>
      <w:lvlText w:val="%6."/>
      <w:lvlJc w:val="right"/>
      <w:pPr>
        <w:tabs>
          <w:tab w:val="num" w:pos="7500"/>
        </w:tabs>
        <w:ind w:left="7500" w:hanging="180"/>
      </w:pPr>
    </w:lvl>
    <w:lvl w:ilvl="6" w:tplc="0410000F" w:tentative="1">
      <w:start w:val="1"/>
      <w:numFmt w:val="decimal"/>
      <w:lvlText w:val="%7."/>
      <w:lvlJc w:val="left"/>
      <w:pPr>
        <w:tabs>
          <w:tab w:val="num" w:pos="8220"/>
        </w:tabs>
        <w:ind w:left="8220" w:hanging="360"/>
      </w:pPr>
    </w:lvl>
    <w:lvl w:ilvl="7" w:tplc="04100019" w:tentative="1">
      <w:start w:val="1"/>
      <w:numFmt w:val="lowerLetter"/>
      <w:lvlText w:val="%8."/>
      <w:lvlJc w:val="left"/>
      <w:pPr>
        <w:tabs>
          <w:tab w:val="num" w:pos="8940"/>
        </w:tabs>
        <w:ind w:left="8940" w:hanging="360"/>
      </w:pPr>
    </w:lvl>
    <w:lvl w:ilvl="8" w:tplc="0410001B" w:tentative="1">
      <w:start w:val="1"/>
      <w:numFmt w:val="lowerRoman"/>
      <w:lvlText w:val="%9."/>
      <w:lvlJc w:val="right"/>
      <w:pPr>
        <w:tabs>
          <w:tab w:val="num" w:pos="9660"/>
        </w:tabs>
        <w:ind w:left="9660" w:hanging="180"/>
      </w:pPr>
    </w:lvl>
  </w:abstractNum>
  <w:abstractNum w:abstractNumId="5" w15:restartNumberingAfterBreak="0">
    <w:nsid w:val="689437B6"/>
    <w:multiLevelType w:val="hybridMultilevel"/>
    <w:tmpl w:val="103416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5620435"/>
    <w:multiLevelType w:val="hybridMultilevel"/>
    <w:tmpl w:val="0F22FC54"/>
    <w:lvl w:ilvl="0" w:tplc="0410000F">
      <w:start w:val="1"/>
      <w:numFmt w:val="decimal"/>
      <w:lvlText w:val="%1."/>
      <w:lvlJc w:val="left"/>
      <w:pPr>
        <w:tabs>
          <w:tab w:val="num" w:pos="720"/>
        </w:tabs>
        <w:ind w:left="720" w:hanging="360"/>
      </w:pPr>
      <w:rPr>
        <w:rFonts w:hint="default"/>
      </w:rPr>
    </w:lvl>
    <w:lvl w:ilvl="1" w:tplc="0410000D">
      <w:start w:val="1"/>
      <w:numFmt w:val="bullet"/>
      <w:lvlText w:val=""/>
      <w:lvlJc w:val="left"/>
      <w:pPr>
        <w:tabs>
          <w:tab w:val="num" w:pos="1440"/>
        </w:tabs>
        <w:ind w:left="1440" w:hanging="360"/>
      </w:pPr>
      <w:rPr>
        <w:rFonts w:ascii="Wingdings" w:hAnsi="Wingdings" w:hint="default"/>
      </w:rPr>
    </w:lvl>
    <w:lvl w:ilvl="2" w:tplc="0410000F">
      <w:start w:val="1"/>
      <w:numFmt w:val="decimal"/>
      <w:lvlText w:val="%3."/>
      <w:lvlJc w:val="left"/>
      <w:pPr>
        <w:tabs>
          <w:tab w:val="num" w:pos="2340"/>
        </w:tabs>
        <w:ind w:left="234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78174F3F"/>
    <w:multiLevelType w:val="hybridMultilevel"/>
    <w:tmpl w:val="F9EC8A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596B4F"/>
    <w:multiLevelType w:val="hybridMultilevel"/>
    <w:tmpl w:val="0F22FC54"/>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118329542">
    <w:abstractNumId w:val="7"/>
  </w:num>
  <w:num w:numId="2" w16cid:durableId="910694584">
    <w:abstractNumId w:val="2"/>
  </w:num>
  <w:num w:numId="3" w16cid:durableId="130558839">
    <w:abstractNumId w:val="8"/>
  </w:num>
  <w:num w:numId="4" w16cid:durableId="1598714956">
    <w:abstractNumId w:val="6"/>
  </w:num>
  <w:num w:numId="5" w16cid:durableId="980766465">
    <w:abstractNumId w:val="4"/>
  </w:num>
  <w:num w:numId="6" w16cid:durableId="378822736">
    <w:abstractNumId w:val="1"/>
  </w:num>
  <w:num w:numId="7" w16cid:durableId="787894306">
    <w:abstractNumId w:val="3"/>
  </w:num>
  <w:num w:numId="8" w16cid:durableId="2039236534">
    <w:abstractNumId w:val="0"/>
  </w:num>
  <w:num w:numId="9" w16cid:durableId="261231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6B"/>
    <w:rsid w:val="00017B56"/>
    <w:rsid w:val="00033A42"/>
    <w:rsid w:val="00067777"/>
    <w:rsid w:val="000716F6"/>
    <w:rsid w:val="000936B3"/>
    <w:rsid w:val="000E0EAB"/>
    <w:rsid w:val="000E7EE9"/>
    <w:rsid w:val="00116B90"/>
    <w:rsid w:val="00122CA3"/>
    <w:rsid w:val="00134D09"/>
    <w:rsid w:val="00155362"/>
    <w:rsid w:val="001841BD"/>
    <w:rsid w:val="00196D30"/>
    <w:rsid w:val="001C11E5"/>
    <w:rsid w:val="001C163D"/>
    <w:rsid w:val="001C2ADE"/>
    <w:rsid w:val="001D6C53"/>
    <w:rsid w:val="00210725"/>
    <w:rsid w:val="002114E1"/>
    <w:rsid w:val="00223749"/>
    <w:rsid w:val="0024303A"/>
    <w:rsid w:val="00251CA7"/>
    <w:rsid w:val="002553A9"/>
    <w:rsid w:val="002843B3"/>
    <w:rsid w:val="002A2C8D"/>
    <w:rsid w:val="002A42E9"/>
    <w:rsid w:val="002B7CA6"/>
    <w:rsid w:val="002E7899"/>
    <w:rsid w:val="00306142"/>
    <w:rsid w:val="003070B7"/>
    <w:rsid w:val="0031283B"/>
    <w:rsid w:val="00325165"/>
    <w:rsid w:val="003577F2"/>
    <w:rsid w:val="003853ED"/>
    <w:rsid w:val="003A55F9"/>
    <w:rsid w:val="003B0300"/>
    <w:rsid w:val="003B3F77"/>
    <w:rsid w:val="003C4A6B"/>
    <w:rsid w:val="003C761B"/>
    <w:rsid w:val="003D2FF5"/>
    <w:rsid w:val="003E18CC"/>
    <w:rsid w:val="003E758B"/>
    <w:rsid w:val="00413DC4"/>
    <w:rsid w:val="004167D8"/>
    <w:rsid w:val="00417F1A"/>
    <w:rsid w:val="004211A0"/>
    <w:rsid w:val="00426526"/>
    <w:rsid w:val="00427625"/>
    <w:rsid w:val="00430347"/>
    <w:rsid w:val="00433A36"/>
    <w:rsid w:val="00445558"/>
    <w:rsid w:val="004651D8"/>
    <w:rsid w:val="00472E52"/>
    <w:rsid w:val="004970B2"/>
    <w:rsid w:val="004B35BA"/>
    <w:rsid w:val="004C4983"/>
    <w:rsid w:val="004D5B49"/>
    <w:rsid w:val="004D7B12"/>
    <w:rsid w:val="004E7D64"/>
    <w:rsid w:val="004F2FC0"/>
    <w:rsid w:val="0054271D"/>
    <w:rsid w:val="00543DE3"/>
    <w:rsid w:val="00572B61"/>
    <w:rsid w:val="00585F6F"/>
    <w:rsid w:val="005A40B0"/>
    <w:rsid w:val="005E7DE9"/>
    <w:rsid w:val="005F5C0E"/>
    <w:rsid w:val="006248FD"/>
    <w:rsid w:val="006378C7"/>
    <w:rsid w:val="00641474"/>
    <w:rsid w:val="00652872"/>
    <w:rsid w:val="006607EB"/>
    <w:rsid w:val="00680B1A"/>
    <w:rsid w:val="0068646F"/>
    <w:rsid w:val="00691837"/>
    <w:rsid w:val="006E28AB"/>
    <w:rsid w:val="006E28D2"/>
    <w:rsid w:val="00703528"/>
    <w:rsid w:val="00717EC5"/>
    <w:rsid w:val="007203A6"/>
    <w:rsid w:val="00724136"/>
    <w:rsid w:val="00724A25"/>
    <w:rsid w:val="00750DE2"/>
    <w:rsid w:val="00770BB4"/>
    <w:rsid w:val="00790C6B"/>
    <w:rsid w:val="0079496E"/>
    <w:rsid w:val="007A293E"/>
    <w:rsid w:val="007B22D2"/>
    <w:rsid w:val="007D0E6E"/>
    <w:rsid w:val="007F0E7C"/>
    <w:rsid w:val="00800BB6"/>
    <w:rsid w:val="00804867"/>
    <w:rsid w:val="008148DE"/>
    <w:rsid w:val="00830975"/>
    <w:rsid w:val="00852CB3"/>
    <w:rsid w:val="008900DC"/>
    <w:rsid w:val="00892D01"/>
    <w:rsid w:val="00897805"/>
    <w:rsid w:val="008A5D89"/>
    <w:rsid w:val="008F77D0"/>
    <w:rsid w:val="00900261"/>
    <w:rsid w:val="00901D19"/>
    <w:rsid w:val="00933988"/>
    <w:rsid w:val="00933FF2"/>
    <w:rsid w:val="009447E3"/>
    <w:rsid w:val="00950536"/>
    <w:rsid w:val="00981230"/>
    <w:rsid w:val="00996F86"/>
    <w:rsid w:val="009B4A0E"/>
    <w:rsid w:val="009B6F83"/>
    <w:rsid w:val="009C1414"/>
    <w:rsid w:val="009D0D67"/>
    <w:rsid w:val="009D119F"/>
    <w:rsid w:val="009D4A5B"/>
    <w:rsid w:val="009D768D"/>
    <w:rsid w:val="009D7FD2"/>
    <w:rsid w:val="00A0221C"/>
    <w:rsid w:val="00A074BF"/>
    <w:rsid w:val="00A20350"/>
    <w:rsid w:val="00A360DF"/>
    <w:rsid w:val="00A47023"/>
    <w:rsid w:val="00A739D6"/>
    <w:rsid w:val="00A80597"/>
    <w:rsid w:val="00AD2207"/>
    <w:rsid w:val="00AD3C9E"/>
    <w:rsid w:val="00B01515"/>
    <w:rsid w:val="00B2606B"/>
    <w:rsid w:val="00B305FD"/>
    <w:rsid w:val="00B53DF4"/>
    <w:rsid w:val="00B640CD"/>
    <w:rsid w:val="00BD2551"/>
    <w:rsid w:val="00BD3383"/>
    <w:rsid w:val="00BE537E"/>
    <w:rsid w:val="00C10B3B"/>
    <w:rsid w:val="00C322D6"/>
    <w:rsid w:val="00C5094D"/>
    <w:rsid w:val="00C54BD9"/>
    <w:rsid w:val="00C71E4F"/>
    <w:rsid w:val="00C84BD5"/>
    <w:rsid w:val="00CA37A6"/>
    <w:rsid w:val="00CB5792"/>
    <w:rsid w:val="00CD4FF4"/>
    <w:rsid w:val="00D15A3A"/>
    <w:rsid w:val="00D21CD5"/>
    <w:rsid w:val="00D270F8"/>
    <w:rsid w:val="00D83956"/>
    <w:rsid w:val="00D90C47"/>
    <w:rsid w:val="00D942E7"/>
    <w:rsid w:val="00DA223F"/>
    <w:rsid w:val="00DA2E38"/>
    <w:rsid w:val="00DA5FDE"/>
    <w:rsid w:val="00DA6987"/>
    <w:rsid w:val="00DC6AD5"/>
    <w:rsid w:val="00DD7A9D"/>
    <w:rsid w:val="00DE3352"/>
    <w:rsid w:val="00DF3A6F"/>
    <w:rsid w:val="00E03A3A"/>
    <w:rsid w:val="00E52642"/>
    <w:rsid w:val="00E70304"/>
    <w:rsid w:val="00E7034B"/>
    <w:rsid w:val="00E71037"/>
    <w:rsid w:val="00E74681"/>
    <w:rsid w:val="00EA6F65"/>
    <w:rsid w:val="00EB35EA"/>
    <w:rsid w:val="00EC091E"/>
    <w:rsid w:val="00EC1FC6"/>
    <w:rsid w:val="00F01D9F"/>
    <w:rsid w:val="00F1032B"/>
    <w:rsid w:val="00F2466F"/>
    <w:rsid w:val="00F32A6C"/>
    <w:rsid w:val="00F425C5"/>
    <w:rsid w:val="00F62D9E"/>
    <w:rsid w:val="00F73E9B"/>
    <w:rsid w:val="00F7437A"/>
    <w:rsid w:val="00F8511B"/>
    <w:rsid w:val="00FA1DA0"/>
    <w:rsid w:val="00FB50D7"/>
    <w:rsid w:val="00FB68CE"/>
    <w:rsid w:val="00FC7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61F7C"/>
  <w15:docId w15:val="{40EFE819-D4E1-4FB5-B2D9-48A35BE9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33988"/>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33988"/>
    <w:pPr>
      <w:tabs>
        <w:tab w:val="center" w:pos="4819"/>
        <w:tab w:val="right" w:pos="9638"/>
      </w:tabs>
    </w:pPr>
    <w:rPr>
      <w:color w:val="000000"/>
      <w:szCs w:val="20"/>
    </w:rPr>
  </w:style>
  <w:style w:type="paragraph" w:styleId="Testofumetto">
    <w:name w:val="Balloon Text"/>
    <w:basedOn w:val="Normale"/>
    <w:semiHidden/>
    <w:rsid w:val="00933988"/>
    <w:rPr>
      <w:rFonts w:ascii="Tahoma" w:hAnsi="Tahoma" w:cs="Tahoma"/>
      <w:sz w:val="16"/>
      <w:szCs w:val="16"/>
    </w:rPr>
  </w:style>
  <w:style w:type="paragraph" w:styleId="Corpotesto">
    <w:name w:val="Body Text"/>
    <w:basedOn w:val="Normale"/>
    <w:rsid w:val="00933988"/>
    <w:pPr>
      <w:jc w:val="both"/>
    </w:pPr>
  </w:style>
  <w:style w:type="character" w:styleId="Numeropagina">
    <w:name w:val="page number"/>
    <w:basedOn w:val="Carpredefinitoparagrafo"/>
    <w:rsid w:val="00933988"/>
  </w:style>
  <w:style w:type="paragraph" w:styleId="Testonotadichiusura">
    <w:name w:val="endnote text"/>
    <w:basedOn w:val="Normale"/>
    <w:link w:val="TestonotadichiusuraCarattere"/>
    <w:rsid w:val="00116B90"/>
    <w:rPr>
      <w:sz w:val="20"/>
      <w:szCs w:val="20"/>
    </w:rPr>
  </w:style>
  <w:style w:type="character" w:customStyle="1" w:styleId="TestonotadichiusuraCarattere">
    <w:name w:val="Testo nota di chiusura Carattere"/>
    <w:basedOn w:val="Carpredefinitoparagrafo"/>
    <w:link w:val="Testonotadichiusura"/>
    <w:rsid w:val="00116B90"/>
  </w:style>
  <w:style w:type="character" w:styleId="Rimandonotadichiusura">
    <w:name w:val="endnote reference"/>
    <w:basedOn w:val="Carpredefinitoparagrafo"/>
    <w:rsid w:val="00116B90"/>
    <w:rPr>
      <w:vertAlign w:val="superscript"/>
    </w:rPr>
  </w:style>
  <w:style w:type="paragraph" w:styleId="Testonotaapidipagina">
    <w:name w:val="footnote text"/>
    <w:basedOn w:val="Normale"/>
    <w:link w:val="TestonotaapidipaginaCarattere"/>
    <w:rsid w:val="00116B90"/>
    <w:rPr>
      <w:sz w:val="20"/>
      <w:szCs w:val="20"/>
    </w:rPr>
  </w:style>
  <w:style w:type="character" w:customStyle="1" w:styleId="TestonotaapidipaginaCarattere">
    <w:name w:val="Testo nota a piè di pagina Carattere"/>
    <w:basedOn w:val="Carpredefinitoparagrafo"/>
    <w:link w:val="Testonotaapidipagina"/>
    <w:rsid w:val="00116B90"/>
  </w:style>
  <w:style w:type="character" w:styleId="Rimandonotaapidipagina">
    <w:name w:val="footnote reference"/>
    <w:basedOn w:val="Carpredefinitoparagrafo"/>
    <w:rsid w:val="00116B90"/>
    <w:rPr>
      <w:vertAlign w:val="superscript"/>
    </w:rPr>
  </w:style>
  <w:style w:type="paragraph" w:styleId="Pidipagina">
    <w:name w:val="footer"/>
    <w:basedOn w:val="Normale"/>
    <w:link w:val="PidipaginaCarattere"/>
    <w:uiPriority w:val="99"/>
    <w:rsid w:val="00B305FD"/>
    <w:pPr>
      <w:tabs>
        <w:tab w:val="center" w:pos="4819"/>
        <w:tab w:val="right" w:pos="9638"/>
      </w:tabs>
    </w:pPr>
  </w:style>
  <w:style w:type="character" w:customStyle="1" w:styleId="PidipaginaCarattere">
    <w:name w:val="Piè di pagina Carattere"/>
    <w:basedOn w:val="Carpredefinitoparagrafo"/>
    <w:link w:val="Pidipagina"/>
    <w:uiPriority w:val="99"/>
    <w:rsid w:val="00B305FD"/>
    <w:rPr>
      <w:sz w:val="24"/>
      <w:szCs w:val="24"/>
    </w:rPr>
  </w:style>
  <w:style w:type="character" w:styleId="Collegamentoipertestuale">
    <w:name w:val="Hyperlink"/>
    <w:basedOn w:val="Carpredefinitoparagrafo"/>
    <w:rsid w:val="00F1032B"/>
    <w:rPr>
      <w:color w:val="0000FF"/>
      <w:u w:val="single"/>
    </w:rPr>
  </w:style>
  <w:style w:type="character" w:styleId="Enfasigrassetto">
    <w:name w:val="Strong"/>
    <w:basedOn w:val="Carpredefinitoparagrafo"/>
    <w:uiPriority w:val="22"/>
    <w:qFormat/>
    <w:rsid w:val="007203A6"/>
    <w:rPr>
      <w:b/>
      <w:bCs/>
    </w:rPr>
  </w:style>
  <w:style w:type="paragraph" w:customStyle="1" w:styleId="Default">
    <w:name w:val="Default"/>
    <w:rsid w:val="003070B7"/>
    <w:pPr>
      <w:autoSpaceDE w:val="0"/>
      <w:autoSpaceDN w:val="0"/>
      <w:adjustRightInd w:val="0"/>
    </w:pPr>
    <w:rPr>
      <w:rFonts w:ascii="Book Antiqua" w:hAnsi="Book Antiqua" w:cs="Book Antiqua"/>
      <w:color w:val="000000"/>
      <w:sz w:val="24"/>
      <w:szCs w:val="24"/>
    </w:rPr>
  </w:style>
  <w:style w:type="paragraph" w:customStyle="1" w:styleId="nlegge">
    <w:name w:val="n_legge"/>
    <w:basedOn w:val="Normale"/>
    <w:rsid w:val="00033A42"/>
    <w:pPr>
      <w:spacing w:before="100" w:beforeAutospacing="1" w:after="100" w:afterAutospacing="1"/>
    </w:pPr>
  </w:style>
  <w:style w:type="paragraph" w:customStyle="1" w:styleId="legge">
    <w:name w:val="legge"/>
    <w:basedOn w:val="Normale"/>
    <w:rsid w:val="00033A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9027">
      <w:bodyDiv w:val="1"/>
      <w:marLeft w:val="0"/>
      <w:marRight w:val="0"/>
      <w:marTop w:val="0"/>
      <w:marBottom w:val="0"/>
      <w:divBdr>
        <w:top w:val="none" w:sz="0" w:space="0" w:color="auto"/>
        <w:left w:val="none" w:sz="0" w:space="0" w:color="auto"/>
        <w:bottom w:val="none" w:sz="0" w:space="0" w:color="auto"/>
        <w:right w:val="none" w:sz="0" w:space="0" w:color="auto"/>
      </w:divBdr>
    </w:div>
    <w:div w:id="574900543">
      <w:bodyDiv w:val="1"/>
      <w:marLeft w:val="0"/>
      <w:marRight w:val="0"/>
      <w:marTop w:val="0"/>
      <w:marBottom w:val="0"/>
      <w:divBdr>
        <w:top w:val="none" w:sz="0" w:space="0" w:color="auto"/>
        <w:left w:val="none" w:sz="0" w:space="0" w:color="auto"/>
        <w:bottom w:val="none" w:sz="0" w:space="0" w:color="auto"/>
        <w:right w:val="none" w:sz="0" w:space="0" w:color="auto"/>
      </w:divBdr>
    </w:div>
    <w:div w:id="756364847">
      <w:bodyDiv w:val="1"/>
      <w:marLeft w:val="0"/>
      <w:marRight w:val="0"/>
      <w:marTop w:val="0"/>
      <w:marBottom w:val="0"/>
      <w:divBdr>
        <w:top w:val="none" w:sz="0" w:space="0" w:color="auto"/>
        <w:left w:val="none" w:sz="0" w:space="0" w:color="auto"/>
        <w:bottom w:val="none" w:sz="0" w:space="0" w:color="auto"/>
        <w:right w:val="none" w:sz="0" w:space="0" w:color="auto"/>
      </w:divBdr>
    </w:div>
    <w:div w:id="790780890">
      <w:bodyDiv w:val="1"/>
      <w:marLeft w:val="0"/>
      <w:marRight w:val="0"/>
      <w:marTop w:val="0"/>
      <w:marBottom w:val="0"/>
      <w:divBdr>
        <w:top w:val="none" w:sz="0" w:space="0" w:color="auto"/>
        <w:left w:val="none" w:sz="0" w:space="0" w:color="auto"/>
        <w:bottom w:val="none" w:sz="0" w:space="0" w:color="auto"/>
        <w:right w:val="none" w:sz="0" w:space="0" w:color="auto"/>
      </w:divBdr>
    </w:div>
    <w:div w:id="1527215284">
      <w:bodyDiv w:val="1"/>
      <w:marLeft w:val="0"/>
      <w:marRight w:val="0"/>
      <w:marTop w:val="0"/>
      <w:marBottom w:val="0"/>
      <w:divBdr>
        <w:top w:val="none" w:sz="0" w:space="0" w:color="auto"/>
        <w:left w:val="none" w:sz="0" w:space="0" w:color="auto"/>
        <w:bottom w:val="none" w:sz="0" w:space="0" w:color="auto"/>
        <w:right w:val="none" w:sz="0" w:space="0" w:color="auto"/>
      </w:divBdr>
    </w:div>
    <w:div w:id="1783575481">
      <w:bodyDiv w:val="1"/>
      <w:marLeft w:val="0"/>
      <w:marRight w:val="0"/>
      <w:marTop w:val="0"/>
      <w:marBottom w:val="0"/>
      <w:divBdr>
        <w:top w:val="none" w:sz="0" w:space="0" w:color="auto"/>
        <w:left w:val="none" w:sz="0" w:space="0" w:color="auto"/>
        <w:bottom w:val="none" w:sz="0" w:space="0" w:color="auto"/>
        <w:right w:val="none" w:sz="0" w:space="0" w:color="auto"/>
      </w:divBdr>
    </w:div>
    <w:div w:id="1893079927">
      <w:bodyDiv w:val="1"/>
      <w:marLeft w:val="0"/>
      <w:marRight w:val="0"/>
      <w:marTop w:val="0"/>
      <w:marBottom w:val="0"/>
      <w:divBdr>
        <w:top w:val="none" w:sz="0" w:space="0" w:color="auto"/>
        <w:left w:val="none" w:sz="0" w:space="0" w:color="auto"/>
        <w:bottom w:val="none" w:sz="0" w:space="0" w:color="auto"/>
        <w:right w:val="none" w:sz="0" w:space="0" w:color="auto"/>
      </w:divBdr>
    </w:div>
    <w:div w:id="21115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alindro@govern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urcost.org/decisioni/2020/0134s-2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M@Pec.Mite.Gov.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NM-UDG@mase.gov.it" TargetMode="External"/><Relationship Id="rId4" Type="http://schemas.openxmlformats.org/officeDocument/2006/relationships/settings" Target="settings.xml"/><Relationship Id="rId9" Type="http://schemas.openxmlformats.org/officeDocument/2006/relationships/hyperlink" Target="mailto:affariregionali@pec.governo.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DCD2-42E2-4176-B4F8-2C2F0C4C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1734</Words>
  <Characters>9885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Addì , presso , si sono incontrati:</vt:lpstr>
    </vt:vector>
  </TitlesOfParts>
  <Company>Hewlett-Packard Company</Company>
  <LinksUpToDate>false</LinksUpToDate>
  <CharactersWithSpaces>11596</CharactersWithSpaces>
  <SharedDoc>false</SharedDoc>
  <HLinks>
    <vt:vector size="36" baseType="variant">
      <vt:variant>
        <vt:i4>1704003</vt:i4>
      </vt:variant>
      <vt:variant>
        <vt:i4>15</vt:i4>
      </vt:variant>
      <vt:variant>
        <vt:i4>0</vt:i4>
      </vt:variant>
      <vt:variant>
        <vt:i4>5</vt:i4>
      </vt:variant>
      <vt:variant>
        <vt:lpwstr>mailto:protocollo_dfp@mailbox.governo.it</vt:lpwstr>
      </vt:variant>
      <vt:variant>
        <vt:lpwstr/>
      </vt:variant>
      <vt:variant>
        <vt:i4>6815817</vt:i4>
      </vt:variant>
      <vt:variant>
        <vt:i4>12</vt:i4>
      </vt:variant>
      <vt:variant>
        <vt:i4>0</vt:i4>
      </vt:variant>
      <vt:variant>
        <vt:i4>5</vt:i4>
      </vt:variant>
      <vt:variant>
        <vt:lpwstr>mailto:contenzioso.dfp@governo</vt:lpwstr>
      </vt:variant>
      <vt:variant>
        <vt:lpwstr/>
      </vt:variant>
      <vt:variant>
        <vt:i4>721015</vt:i4>
      </vt:variant>
      <vt:variant>
        <vt:i4>9</vt:i4>
      </vt:variant>
      <vt:variant>
        <vt:i4>0</vt:i4>
      </vt:variant>
      <vt:variant>
        <vt:i4>5</vt:i4>
      </vt:variant>
      <vt:variant>
        <vt:lpwstr>mailto:r.appignani@governo.it</vt:lpwstr>
      </vt:variant>
      <vt:variant>
        <vt:lpwstr/>
      </vt:variant>
      <vt:variant>
        <vt:i4>1245291</vt:i4>
      </vt:variant>
      <vt:variant>
        <vt:i4>6</vt:i4>
      </vt:variant>
      <vt:variant>
        <vt:i4>0</vt:i4>
      </vt:variant>
      <vt:variant>
        <vt:i4>5</vt:i4>
      </vt:variant>
      <vt:variant>
        <vt:lpwstr>mailto:affariregionali@pec.governo.it</vt:lpwstr>
      </vt:variant>
      <vt:variant>
        <vt:lpwstr/>
      </vt:variant>
      <vt:variant>
        <vt:i4>6750239</vt:i4>
      </vt:variant>
      <vt:variant>
        <vt:i4>3</vt:i4>
      </vt:variant>
      <vt:variant>
        <vt:i4>0</vt:i4>
      </vt:variant>
      <vt:variant>
        <vt:i4>5</vt:i4>
      </vt:variant>
      <vt:variant>
        <vt:lpwstr>mailto:e.gallozzi@governo.it</vt:lpwstr>
      </vt:variant>
      <vt:variant>
        <vt:lpwstr/>
      </vt:variant>
      <vt:variant>
        <vt:i4>7405655</vt:i4>
      </vt:variant>
      <vt:variant>
        <vt:i4>0</vt:i4>
      </vt:variant>
      <vt:variant>
        <vt:i4>0</vt:i4>
      </vt:variant>
      <vt:variant>
        <vt:i4>5</vt:i4>
      </vt:variant>
      <vt:variant>
        <vt:lpwstr>mailto:segrsottosegbressa@governo.it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Addì , presso , si sono incontrati:</dc:title>
  <dc:subject/>
  <dc:creator>Luca Fusari</dc:creator>
  <cp:keywords/>
  <dc:description/>
  <cp:lastModifiedBy>Annamaria Togna</cp:lastModifiedBy>
  <cp:revision>2</cp:revision>
  <cp:lastPrinted>2017-08-28T11:08:00Z</cp:lastPrinted>
  <dcterms:created xsi:type="dcterms:W3CDTF">2024-02-06T15:29:00Z</dcterms:created>
  <dcterms:modified xsi:type="dcterms:W3CDTF">2024-02-06T15:29:00Z</dcterms:modified>
</cp:coreProperties>
</file>